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before="120" w:after="120" w:line="360" w:lineRule="auto"/>
        <w:rPr>
          <w:rFonts w:hint="eastAsia" w:ascii="宋体" w:hAnsi="宋体" w:eastAsia="宋体" w:cs="宋体"/>
          <w:b/>
          <w:color w:val="auto"/>
          <w:sz w:val="72"/>
          <w:szCs w:val="72"/>
          <w:highlight w:val="none"/>
        </w:rPr>
      </w:pPr>
      <w:r>
        <w:rPr>
          <w:rFonts w:hint="eastAsia" w:ascii="宋体" w:hAnsi="宋体" w:eastAsia="宋体" w:cs="宋体"/>
          <w:color w:val="auto"/>
          <w:sz w:val="24"/>
          <w:szCs w:val="24"/>
          <w:highlight w:val="none"/>
        </w:rPr>
        <w:t xml:space="preserve">  </w:t>
      </w:r>
      <w:r/>
    </w:p>
    <w:p>
      <w:pPr>
        <w:jc w:val="center"/>
        <w:spacing w:before="120" w:after="120" w:line="360" w:lineRule="auto"/>
        <w:rPr>
          <w:rFonts w:hint="eastAsia" w:ascii="宋体" w:hAnsi="宋体" w:eastAsia="宋体" w:cs="宋体"/>
          <w:b/>
          <w:bCs/>
          <w:color w:val="auto"/>
          <w:sz w:val="72"/>
          <w:szCs w:val="72"/>
          <w:highlight w:val="none"/>
        </w:rPr>
        <w:outlineLvl w:val="0"/>
      </w:pPr>
      <w:r/>
      <w:bookmarkStart w:id="0" w:name="_Toc1997"/>
      <w:r>
        <w:rPr>
          <w:rFonts w:hint="eastAsia" w:ascii="宋体" w:hAnsi="宋体" w:eastAsia="宋体" w:cs="宋体"/>
          <w:b/>
          <w:bCs/>
          <w:color w:val="auto"/>
          <w:sz w:val="72"/>
          <w:szCs w:val="72"/>
          <w:highlight w:val="none"/>
        </w:rPr>
        <w:t xml:space="preserve">泰州市政府采购</w:t>
      </w:r>
      <w:bookmarkEnd w:id="0"/>
      <w:r>
        <w:rPr>
          <w:rFonts w:hint="eastAsia" w:ascii="宋体" w:hAnsi="宋体" w:eastAsia="宋体" w:cs="宋体"/>
          <w:b/>
          <w:bCs/>
          <w:color w:val="auto"/>
          <w:sz w:val="72"/>
          <w:szCs w:val="72"/>
          <w:highlight w:val="none"/>
        </w:rPr>
        <w:t xml:space="preserve">项目</w:t>
      </w:r>
      <w:r/>
    </w:p>
    <w:p>
      <w:pPr>
        <w:jc w:val="center"/>
        <w:spacing w:before="120" w:line="360" w:lineRule="auto"/>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r>
      <w:r/>
    </w:p>
    <w:p>
      <w:pPr>
        <w:jc w:val="center"/>
        <w:spacing w:before="120" w:line="360" w:lineRule="auto"/>
        <w:rPr>
          <w:rFonts w:hint="eastAsia" w:ascii="宋体" w:hAnsi="宋体" w:eastAsia="宋体" w:cs="宋体"/>
          <w:b/>
          <w:bCs/>
          <w:color w:val="auto"/>
          <w:sz w:val="52"/>
          <w:szCs w:val="52"/>
          <w:highlight w:val="none"/>
          <w:lang w:eastAsia="zh-CN"/>
        </w:rPr>
        <w:outlineLvl w:val="0"/>
      </w:pPr>
      <w:r/>
      <w:bookmarkStart w:id="1" w:name="_Toc28993"/>
      <w:r>
        <w:rPr>
          <w:rFonts w:hint="eastAsia" w:ascii="宋体" w:hAnsi="宋体" w:eastAsia="宋体" w:cs="宋体"/>
          <w:b/>
          <w:bCs/>
          <w:color w:val="auto"/>
          <w:sz w:val="52"/>
          <w:szCs w:val="52"/>
          <w:highlight w:val="none"/>
        </w:rPr>
        <w:t xml:space="preserve">竞争性磋商文件</w:t>
      </w:r>
      <w:bookmarkEnd w:id="1"/>
      <w:r/>
      <w:r/>
    </w:p>
    <w:p>
      <w:pPr>
        <w:jc w:val="center"/>
        <w:rPr>
          <w:rFonts w:hint="eastAsia" w:ascii="宋体" w:hAnsi="宋体" w:eastAsia="宋体" w:cs="宋体"/>
          <w:bCs/>
          <w:color w:val="auto"/>
          <w:sz w:val="36"/>
          <w:szCs w:val="36"/>
          <w:highlight w:val="none"/>
        </w:rPr>
      </w:pPr>
      <w:r>
        <w:rPr>
          <w:rFonts w:hint="eastAsia" w:ascii="宋体" w:hAnsi="宋体" w:eastAsia="宋体" w:cs="宋体"/>
          <w:color w:val="auto"/>
          <w:sz w:val="36"/>
          <w:szCs w:val="36"/>
          <w:highlight w:val="none"/>
          <w:lang w:eastAsia="zh-CN"/>
        </w:rPr>
        <w:t xml:space="preserve">（</w:t>
      </w:r>
      <w:r>
        <w:rPr>
          <w:rFonts w:hint="eastAsia" w:ascii="宋体" w:hAnsi="宋体" w:eastAsia="宋体" w:cs="宋体"/>
          <w:bCs/>
          <w:color w:val="auto"/>
          <w:sz w:val="36"/>
          <w:szCs w:val="36"/>
          <w:highlight w:val="none"/>
        </w:rPr>
        <w:t xml:space="preserve">全流程电子化不见面开标</w:t>
      </w:r>
      <w:r>
        <w:rPr>
          <w:rFonts w:hint="eastAsia" w:ascii="宋体" w:hAnsi="宋体" w:eastAsia="宋体" w:cs="宋体"/>
          <w:color w:val="auto"/>
          <w:sz w:val="36"/>
          <w:szCs w:val="36"/>
          <w:highlight w:val="none"/>
        </w:rPr>
        <w:t xml:space="preserve">）</w:t>
      </w:r>
      <w:r/>
    </w:p>
    <w:p>
      <w:pPr>
        <w:pStyle w:val="935"/>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5"/>
        <w:ind w:firstLine="40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5"/>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643"/>
        <w:jc w:val="left"/>
        <w:spacing w:before="120" w:after="120"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项目编号：</w:t>
      </w:r>
      <w:r>
        <w:rPr>
          <w:rFonts w:hint="eastAsia" w:ascii="宋体" w:hAnsi="宋体" w:eastAsia="宋体" w:cs="宋体"/>
          <w:b/>
          <w:bCs/>
          <w:color w:val="auto"/>
          <w:sz w:val="32"/>
          <w:szCs w:val="32"/>
          <w:highlight w:val="none"/>
        </w:rPr>
        <w:t xml:space="preserve">JSZC-321203-JTTZ-C2025-0044</w:t>
      </w:r>
      <w:r>
        <w:rPr>
          <w:rFonts w:hint="eastAsia" w:ascii="宋体" w:hAnsi="宋体" w:eastAsia="宋体" w:cs="宋体"/>
          <w:b/>
          <w:bCs/>
          <w:color w:val="auto"/>
          <w:sz w:val="32"/>
          <w:szCs w:val="32"/>
          <w:highlight w:val="none"/>
        </w:rPr>
      </w:r>
      <w:r/>
    </w:p>
    <w:p>
      <w:pPr>
        <w:ind w:firstLine="643"/>
        <w:jc w:val="left"/>
        <w:spacing w:before="120" w:after="120"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项目名称：园区地块考古调查勘探工作技术服务项目</w:t>
      </w:r>
      <w:r/>
    </w:p>
    <w:p>
      <w:pPr>
        <w:ind w:firstLine="948"/>
        <w:jc w:val="left"/>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249"/>
        <w:jc w:val="left"/>
        <w:spacing w:before="120" w:after="120" w:line="36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30"/>
          <w:szCs w:val="30"/>
          <w:highlight w:val="none"/>
        </w:rPr>
        <w:t xml:space="preserve"> </w:t>
      </w:r>
      <w:r>
        <w:rPr>
          <w:rFonts w:hint="eastAsia" w:ascii="宋体" w:hAnsi="宋体" w:eastAsia="宋体" w:cs="宋体"/>
          <w:color w:val="auto"/>
          <w:sz w:val="24"/>
          <w:szCs w:val="24"/>
          <w:highlight w:val="none"/>
        </w:rPr>
        <w:t xml:space="preserve">  </w:t>
      </w:r>
      <w:r/>
    </w:p>
    <w:p>
      <w:pPr>
        <w:jc w:val="center"/>
        <w:spacing w:before="120" w:after="120" w:line="360" w:lineRule="auto"/>
        <w:rPr>
          <w:rFonts w:hint="eastAsia" w:ascii="宋体" w:hAnsi="宋体" w:eastAsia="宋体" w:cs="宋体"/>
          <w:b/>
          <w:bCs/>
          <w:color w:val="auto"/>
          <w:sz w:val="32"/>
          <w:szCs w:val="32"/>
          <w:highlight w:val="none"/>
        </w:rPr>
        <w:outlineLvl w:val="0"/>
      </w:pPr>
      <w:r/>
      <w:bookmarkStart w:id="2" w:name="_Toc11357"/>
      <w:r>
        <w:rPr>
          <w:rFonts w:hint="eastAsia" w:ascii="宋体" w:hAnsi="宋体" w:eastAsia="宋体" w:cs="宋体"/>
          <w:b/>
          <w:bCs/>
          <w:color w:val="auto"/>
          <w:sz w:val="32"/>
          <w:szCs w:val="32"/>
          <w:highlight w:val="none"/>
        </w:rPr>
        <w:t xml:space="preserve">采购人：</w:t>
      </w:r>
      <w:bookmarkEnd w:id="2"/>
      <w:r>
        <w:rPr>
          <w:rFonts w:hint="eastAsia" w:ascii="宋体" w:hAnsi="宋体" w:eastAsia="宋体" w:cs="宋体"/>
          <w:b/>
          <w:bCs/>
          <w:color w:val="auto"/>
          <w:sz w:val="32"/>
          <w:szCs w:val="32"/>
          <w:highlight w:val="none"/>
        </w:rPr>
        <w:t xml:space="preserve">泰州医药高新区（高港区）滨江工业园管理办公室</w:t>
      </w:r>
      <w:r/>
    </w:p>
    <w:p>
      <w:pPr>
        <w:jc w:val="center"/>
        <w:spacing w:before="120" w:after="120" w:line="360" w:lineRule="auto"/>
        <w:rPr>
          <w:rFonts w:hint="eastAsia" w:ascii="宋体" w:hAnsi="宋体" w:eastAsia="宋体" w:cs="宋体"/>
          <w:color w:val="auto"/>
          <w:sz w:val="32"/>
          <w:szCs w:val="32"/>
          <w:highlight w:val="none"/>
        </w:rPr>
        <w:outlineLvl w:val="0"/>
      </w:pPr>
      <w:r>
        <w:rPr>
          <w:rFonts w:hint="eastAsia" w:ascii="宋体" w:hAnsi="宋体" w:eastAsia="宋体" w:cs="宋体"/>
          <w:b/>
          <w:bCs/>
          <w:color w:val="auto"/>
          <w:sz w:val="32"/>
          <w:szCs w:val="32"/>
          <w:highlight w:val="none"/>
        </w:rPr>
        <w:t xml:space="preserve">采购代理机构：江苏建泰工程项目管理有限公司</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 xml:space="preserve">202</w:t>
      </w:r>
      <w:r>
        <w:rPr>
          <w:rFonts w:hint="eastAsia" w:ascii="宋体" w:hAnsi="宋体" w:eastAsia="宋体" w:cs="宋体"/>
          <w:b/>
          <w:bCs/>
          <w:color w:val="auto"/>
          <w:sz w:val="32"/>
          <w:szCs w:val="32"/>
          <w:highlight w:val="none"/>
          <w:lang w:val="en-US" w:eastAsia="zh-CN"/>
        </w:rPr>
        <w:t xml:space="preserve">5</w:t>
      </w:r>
      <w:r>
        <w:rPr>
          <w:rFonts w:hint="eastAsia" w:ascii="宋体" w:hAnsi="宋体" w:eastAsia="宋体" w:cs="宋体"/>
          <w:b/>
          <w:bCs/>
          <w:color w:val="auto"/>
          <w:sz w:val="32"/>
          <w:szCs w:val="32"/>
          <w:highlight w:val="none"/>
        </w:rPr>
        <w:t xml:space="preserve">年</w:t>
      </w:r>
      <w:r>
        <w:rPr>
          <w:rFonts w:hint="eastAsia" w:ascii="宋体" w:hAnsi="宋体" w:cs="宋体"/>
          <w:b/>
          <w:bCs/>
          <w:color w:val="auto"/>
          <w:sz w:val="32"/>
          <w:szCs w:val="32"/>
          <w:highlight w:val="none"/>
          <w:lang w:val="en-US" w:eastAsia="zh-CN"/>
        </w:rPr>
        <w:t xml:space="preserve">12</w:t>
      </w:r>
      <w:r>
        <w:rPr>
          <w:rFonts w:hint="eastAsia" w:ascii="宋体" w:hAnsi="宋体" w:eastAsia="宋体" w:cs="宋体"/>
          <w:b/>
          <w:bCs/>
          <w:color w:val="auto"/>
          <w:sz w:val="32"/>
          <w:szCs w:val="32"/>
          <w:highlight w:val="none"/>
        </w:rPr>
        <w:t xml:space="preserve">月</w:t>
      </w:r>
      <w:r/>
    </w:p>
    <w:p>
      <w:pPr>
        <w:jc w:val="left"/>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before="120" w:after="120" w:line="360" w:lineRule="auto"/>
        <w:rPr>
          <w:rFonts w:hint="eastAsia" w:ascii="宋体" w:hAnsi="宋体" w:eastAsia="宋体" w:cs="宋体"/>
          <w:color w:val="auto"/>
          <w:sz w:val="24"/>
          <w:szCs w:val="24"/>
          <w:highlight w:val="none"/>
        </w:rPr>
        <w:sectPr>
          <w:headerReference w:type="default" r:id="rId9"/>
          <w:footerReference w:type="default" r:id="rId10"/>
          <w:footnotePr/>
          <w:endnotePr/>
          <w:type w:val="nextPage"/>
          <w:pgSz w:w="11906" w:h="16839" w:orient="portrait"/>
          <w:pgMar w:top="1429" w:right="1633" w:bottom="1440" w:left="1582" w:header="0" w:footer="0" w:gutter="0"/>
          <w:cols w:num="1" w:sep="0" w:space="720" w:equalWidth="1"/>
          <w:docGrid w:linePitch="360"/>
        </w:sectPr>
      </w:pPr>
      <w:r>
        <w:rPr>
          <w:rFonts w:hint="eastAsia" w:ascii="宋体" w:hAnsi="宋体" w:eastAsia="宋体" w:cs="宋体"/>
          <w:color w:val="auto"/>
          <w:sz w:val="24"/>
          <w:szCs w:val="24"/>
          <w:highlight w:val="none"/>
        </w:rPr>
      </w:r>
      <w:r/>
    </w:p>
    <w:p>
      <w:pPr>
        <w:jc w:val="cente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Cs w:val="21"/>
          <w:highlight w:val="none"/>
        </w:rPr>
        <w:t xml:space="preserve"> </w:t>
      </w:r>
      <w:bookmarkStart w:id="3" w:name="_Toc16938516"/>
      <w:r/>
      <w:bookmarkEnd w:id="3"/>
      <w:r/>
      <w:bookmarkStart w:id="4" w:name="_Toc523127445"/>
      <w:r/>
      <w:bookmarkEnd w:id="4"/>
      <w:r/>
      <w:bookmarkStart w:id="5" w:name="_Toc479757206"/>
      <w:r/>
      <w:bookmarkEnd w:id="5"/>
      <w:r/>
      <w:bookmarkStart w:id="6" w:name="_Toc513029200"/>
      <w:r/>
      <w:bookmarkEnd w:id="6"/>
      <w:r/>
      <w:bookmarkStart w:id="7" w:name="_Toc120614210"/>
      <w:r/>
      <w:bookmarkEnd w:id="7"/>
      <w:r/>
      <w:bookmarkStart w:id="8" w:name="_Toc20823272"/>
      <w:r>
        <w:rPr>
          <w:rFonts w:hint="eastAsia" w:ascii="宋体" w:hAnsi="宋体" w:eastAsia="宋体" w:cs="宋体"/>
          <w:b/>
          <w:bCs/>
          <w:color w:val="auto"/>
          <w:sz w:val="44"/>
          <w:szCs w:val="44"/>
          <w:highlight w:val="none"/>
        </w:rPr>
        <w:t xml:space="preserve">总  目  录</w:t>
      </w:r>
      <w:bookmarkEnd w:id="8"/>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6"/>
        <w:spacing w:line="600" w:lineRule="exact"/>
        <w:tabs>
          <w:tab w:val="right" w:pos="8691"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TOC \o "1-1" \h \u</w:instrText>
      </w:r>
      <w:r>
        <w:rPr>
          <w:rFonts w:hint="eastAsia" w:ascii="宋体" w:hAnsi="宋体" w:eastAsia="宋体" w:cs="宋体"/>
          <w:color w:val="auto"/>
          <w:sz w:val="28"/>
          <w:szCs w:val="28"/>
          <w:highlight w:val="none"/>
        </w:rPr>
        <w:fldChar w:fldCharType="separate"/>
      </w:r>
      <w:r>
        <w:rPr>
          <w:color w:val="auto"/>
          <w:highlight w:val="none"/>
        </w:rPr>
        <w:fldChar w:fldCharType="begin"/>
      </w:r>
      <w:r>
        <w:rPr>
          <w:color w:val="auto"/>
          <w:highlight w:val="none"/>
        </w:rPr>
        <w:instrText xml:space="preserve"> HYPERLINK \l "_Toc21141" </w:instrText>
      </w:r>
      <w:r>
        <w:rPr>
          <w:color w:val="auto"/>
          <w:highlight w:val="none"/>
        </w:rPr>
        <w:fldChar w:fldCharType="separate"/>
      </w:r>
      <w:r>
        <w:rPr>
          <w:rFonts w:hint="eastAsia" w:ascii="宋体" w:hAnsi="宋体" w:eastAsia="宋体" w:cs="宋体"/>
          <w:color w:val="auto"/>
          <w:sz w:val="28"/>
          <w:szCs w:val="28"/>
          <w:highlight w:val="none"/>
        </w:rPr>
        <w:t xml:space="preserve">第一章 竞争性磋商公告</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_Toc21141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936"/>
        <w:spacing w:line="600" w:lineRule="exact"/>
        <w:tabs>
          <w:tab w:val="right" w:pos="8691" w:leader="dot"/>
        </w:tabs>
        <w:rPr>
          <w:rFonts w:hint="eastAsia" w:ascii="宋体" w:hAnsi="宋体" w:eastAsia="宋体" w:cs="宋体"/>
          <w:color w:val="auto"/>
          <w:sz w:val="28"/>
          <w:szCs w:val="28"/>
          <w:highlight w:val="none"/>
          <w:lang w:eastAsia="zh-CN"/>
        </w:rPr>
      </w:pPr>
      <w:r>
        <w:rPr>
          <w:color w:val="auto"/>
          <w:highlight w:val="none"/>
        </w:rPr>
        <w:fldChar w:fldCharType="begin"/>
      </w:r>
      <w:r>
        <w:rPr>
          <w:color w:val="auto"/>
          <w:highlight w:val="none"/>
        </w:rPr>
        <w:instrText xml:space="preserve"> HYPERLINK \l "_Toc24442" </w:instrText>
      </w:r>
      <w:r>
        <w:rPr>
          <w:color w:val="auto"/>
          <w:highlight w:val="none"/>
        </w:rPr>
        <w:fldChar w:fldCharType="separate"/>
      </w:r>
      <w:r>
        <w:rPr>
          <w:rFonts w:hint="eastAsia" w:ascii="宋体" w:hAnsi="宋体" w:eastAsia="宋体" w:cs="宋体"/>
          <w:color w:val="auto"/>
          <w:sz w:val="28"/>
          <w:szCs w:val="28"/>
          <w:highlight w:val="none"/>
        </w:rPr>
        <w:t xml:space="preserve">第二章 供应商须知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lang w:val="en-US" w:eastAsia="zh-CN"/>
        </w:rPr>
        <w:t xml:space="preserve">5</w:t>
      </w:r>
      <w:r/>
    </w:p>
    <w:p>
      <w:pPr>
        <w:pStyle w:val="936"/>
        <w:spacing w:line="600" w:lineRule="exact"/>
        <w:tabs>
          <w:tab w:val="right" w:pos="8691" w:leader="dot"/>
        </w:tabs>
        <w:rPr>
          <w:rFonts w:hint="eastAsia" w:ascii="宋体" w:hAnsi="宋体" w:eastAsia="宋体" w:cs="宋体"/>
          <w:color w:val="auto"/>
          <w:sz w:val="28"/>
          <w:szCs w:val="28"/>
          <w:highlight w:val="none"/>
          <w:lang w:val="en-US" w:eastAsia="zh-CN"/>
        </w:rPr>
      </w:pPr>
      <w:r>
        <w:rPr>
          <w:color w:val="auto"/>
          <w:highlight w:val="none"/>
        </w:rPr>
        <w:fldChar w:fldCharType="begin"/>
      </w:r>
      <w:r>
        <w:rPr>
          <w:color w:val="auto"/>
          <w:highlight w:val="none"/>
        </w:rPr>
        <w:instrText xml:space="preserve"> HYPERLINK \l "_Toc26517" </w:instrText>
      </w:r>
      <w:r>
        <w:rPr>
          <w:color w:val="auto"/>
          <w:highlight w:val="none"/>
        </w:rPr>
        <w:fldChar w:fldCharType="separate"/>
      </w:r>
      <w:r>
        <w:rPr>
          <w:rFonts w:hint="eastAsia" w:ascii="宋体" w:hAnsi="宋体" w:eastAsia="宋体" w:cs="宋体"/>
          <w:color w:val="auto"/>
          <w:sz w:val="28"/>
          <w:szCs w:val="28"/>
          <w:highlight w:val="none"/>
        </w:rPr>
        <w:t xml:space="preserve">第三章 合同文本</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 xml:space="preserve">18</w:t>
      </w:r>
      <w:r>
        <w:rPr>
          <w:rFonts w:hint="eastAsia" w:ascii="宋体" w:hAnsi="宋体" w:eastAsia="宋体" w:cs="宋体"/>
          <w:color w:val="auto"/>
          <w:sz w:val="28"/>
          <w:szCs w:val="28"/>
          <w:highlight w:val="none"/>
        </w:rPr>
        <w:fldChar w:fldCharType="end"/>
      </w:r>
      <w:r/>
    </w:p>
    <w:p>
      <w:pPr>
        <w:pStyle w:val="936"/>
        <w:spacing w:line="600" w:lineRule="exact"/>
        <w:tabs>
          <w:tab w:val="right" w:pos="8691" w:leader="dot"/>
        </w:tabs>
        <w:rPr>
          <w:rFonts w:hint="eastAsia" w:ascii="宋体" w:hAnsi="宋体" w:eastAsia="宋体" w:cs="宋体"/>
          <w:color w:val="auto"/>
          <w:sz w:val="28"/>
          <w:szCs w:val="28"/>
          <w:highlight w:val="none"/>
          <w:lang w:val="en-US" w:eastAsia="zh-CN"/>
        </w:rPr>
      </w:pPr>
      <w:r>
        <w:rPr>
          <w:color w:val="auto"/>
          <w:highlight w:val="none"/>
        </w:rPr>
        <w:fldChar w:fldCharType="begin"/>
      </w:r>
      <w:r>
        <w:rPr>
          <w:color w:val="auto"/>
          <w:highlight w:val="none"/>
        </w:rPr>
        <w:instrText xml:space="preserve"> HYPERLINK \l "_Toc31380" </w:instrText>
      </w:r>
      <w:r>
        <w:rPr>
          <w:color w:val="auto"/>
          <w:highlight w:val="none"/>
        </w:rPr>
        <w:fldChar w:fldCharType="separate"/>
      </w:r>
      <w:r>
        <w:rPr>
          <w:rFonts w:hint="eastAsia" w:ascii="宋体" w:hAnsi="宋体" w:eastAsia="宋体" w:cs="宋体"/>
          <w:color w:val="auto"/>
          <w:sz w:val="28"/>
          <w:szCs w:val="28"/>
          <w:highlight w:val="none"/>
        </w:rPr>
        <w:t xml:space="preserve">第四章  采购需求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lang w:val="en-US" w:eastAsia="zh-CN"/>
        </w:rPr>
        <w:t xml:space="preserve">2</w:t>
      </w:r>
      <w:r>
        <w:rPr>
          <w:rFonts w:hint="eastAsia" w:ascii="宋体" w:hAnsi="宋体" w:cs="宋体"/>
          <w:color w:val="auto"/>
          <w:sz w:val="28"/>
          <w:szCs w:val="28"/>
          <w:highlight w:val="none"/>
          <w:lang w:val="en-US" w:eastAsia="zh-CN"/>
        </w:rPr>
        <w:t xml:space="preserve">2</w:t>
      </w:r>
      <w:r/>
    </w:p>
    <w:p>
      <w:pPr>
        <w:pStyle w:val="936"/>
        <w:spacing w:line="600" w:lineRule="exact"/>
        <w:tabs>
          <w:tab w:val="right" w:pos="8691" w:leader="dot"/>
        </w:tabs>
        <w:rPr>
          <w:rFonts w:hint="eastAsia" w:ascii="宋体" w:hAnsi="宋体" w:eastAsia="宋体" w:cs="宋体"/>
          <w:color w:val="auto"/>
          <w:sz w:val="28"/>
          <w:szCs w:val="28"/>
          <w:highlight w:val="none"/>
          <w:lang w:val="en-US" w:eastAsia="zh-CN"/>
        </w:rPr>
      </w:pPr>
      <w:r>
        <w:rPr>
          <w:color w:val="auto"/>
          <w:highlight w:val="none"/>
        </w:rPr>
        <w:fldChar w:fldCharType="begin"/>
      </w:r>
      <w:r>
        <w:rPr>
          <w:color w:val="auto"/>
          <w:highlight w:val="none"/>
        </w:rPr>
        <w:instrText xml:space="preserve"> HYPERLINK \l "_Toc22673" </w:instrText>
      </w:r>
      <w:r>
        <w:rPr>
          <w:color w:val="auto"/>
          <w:highlight w:val="none"/>
        </w:rPr>
        <w:fldChar w:fldCharType="separate"/>
      </w:r>
      <w:r>
        <w:rPr>
          <w:rFonts w:hint="eastAsia" w:ascii="宋体" w:hAnsi="宋体" w:eastAsia="宋体" w:cs="宋体"/>
          <w:color w:val="auto"/>
          <w:sz w:val="28"/>
          <w:szCs w:val="28"/>
          <w:highlight w:val="none"/>
        </w:rPr>
        <w:t xml:space="preserve">第五章 </w:t>
      </w:r>
      <w:r>
        <w:rPr>
          <w:rFonts w:hint="eastAsia" w:ascii="宋体" w:hAnsi="宋体" w:eastAsia="宋体" w:cs="宋体"/>
          <w:bCs/>
          <w:color w:val="auto"/>
          <w:sz w:val="28"/>
          <w:szCs w:val="28"/>
          <w:highlight w:val="none"/>
        </w:rPr>
        <w:t xml:space="preserve">评审方法与评审标准</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lang w:val="en-US" w:eastAsia="zh-CN"/>
        </w:rPr>
        <w:t xml:space="preserve">3</w:t>
      </w:r>
      <w:r>
        <w:rPr>
          <w:rFonts w:hint="eastAsia" w:ascii="宋体" w:hAnsi="宋体" w:cs="宋体"/>
          <w:color w:val="auto"/>
          <w:sz w:val="28"/>
          <w:szCs w:val="28"/>
          <w:highlight w:val="none"/>
          <w:lang w:val="en-US" w:eastAsia="zh-CN"/>
        </w:rPr>
        <w:t xml:space="preserve">3</w:t>
      </w:r>
      <w:r/>
    </w:p>
    <w:p>
      <w:pPr>
        <w:pStyle w:val="936"/>
        <w:spacing w:line="600" w:lineRule="exact"/>
        <w:tabs>
          <w:tab w:val="right" w:pos="8691" w:leader="dot"/>
        </w:tabs>
        <w:rPr>
          <w:rFonts w:hint="eastAsia" w:ascii="宋体" w:hAnsi="宋体" w:eastAsia="宋体" w:cs="宋体"/>
          <w:color w:val="auto"/>
          <w:sz w:val="28"/>
          <w:szCs w:val="28"/>
          <w:highlight w:val="none"/>
        </w:rPr>
      </w:pPr>
      <w:r>
        <w:rPr>
          <w:color w:val="auto"/>
          <w:highlight w:val="none"/>
        </w:rPr>
        <w:fldChar w:fldCharType="begin"/>
      </w:r>
      <w:r>
        <w:rPr>
          <w:color w:val="auto"/>
          <w:highlight w:val="none"/>
        </w:rPr>
        <w:instrText xml:space="preserve"> HYPERLINK \l "_Toc28376" </w:instrText>
      </w:r>
      <w:r>
        <w:rPr>
          <w:color w:val="auto"/>
          <w:highlight w:val="none"/>
        </w:rPr>
        <w:fldChar w:fldCharType="separate"/>
      </w:r>
      <w:r>
        <w:rPr>
          <w:rFonts w:hint="eastAsia" w:ascii="宋体" w:hAnsi="宋体" w:eastAsia="宋体" w:cs="宋体"/>
          <w:color w:val="auto"/>
          <w:sz w:val="28"/>
          <w:szCs w:val="28"/>
          <w:highlight w:val="none"/>
        </w:rPr>
        <w:t xml:space="preserve">第六章 响应文件格式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lang w:val="en-US" w:eastAsia="zh-CN"/>
        </w:rPr>
        <w:t xml:space="preserve">3</w:t>
      </w:r>
      <w:r>
        <w:rPr>
          <w:rFonts w:hint="eastAsia" w:ascii="宋体" w:hAnsi="宋体" w:cs="宋体"/>
          <w:color w:val="auto"/>
          <w:sz w:val="28"/>
          <w:szCs w:val="28"/>
          <w:highlight w:val="none"/>
          <w:lang w:val="en-US" w:eastAsia="zh-CN"/>
        </w:rPr>
        <w:t xml:space="preserve">7</w:t>
      </w:r>
      <w:r>
        <w:rPr>
          <w:rFonts w:hint="eastAsia" w:ascii="宋体" w:hAnsi="宋体" w:cs="宋体"/>
          <w:color w:val="auto"/>
          <w:sz w:val="28"/>
          <w:szCs w:val="28"/>
          <w:highlight w:val="none"/>
          <w:lang w:val="en-US" w:eastAsia="zh-CN"/>
        </w:rPr>
        <w:fldChar w:fldCharType="end"/>
      </w:r>
      <w:r/>
    </w:p>
    <w:p>
      <w:pPr>
        <w:spacing w:line="600" w:lineRule="exact"/>
        <w:widowControl/>
        <w:rPr>
          <w:rFonts w:hint="eastAsia" w:ascii="宋体" w:hAnsi="宋体" w:eastAsia="宋体" w:cs="宋体"/>
          <w:color w:val="auto"/>
          <w:highlight w:val="none"/>
        </w:rPr>
      </w:pPr>
      <w:r>
        <w:rPr>
          <w:rFonts w:hint="eastAsia" w:ascii="宋体" w:hAnsi="宋体" w:eastAsia="宋体" w:cs="宋体"/>
          <w:color w:val="auto"/>
          <w:sz w:val="28"/>
          <w:szCs w:val="28"/>
          <w:highlight w:val="none"/>
        </w:rPr>
        <w:fldChar w:fldCharType="end"/>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44"/>
          <w:szCs w:val="44"/>
          <w:highlight w:val="none"/>
        </w:rPr>
        <w:sectPr>
          <w:footerReference w:type="default" r:id="rId11"/>
          <w:footnotePr/>
          <w:endnotePr/>
          <w:type w:val="nextPage"/>
          <w:pgSz w:w="11906" w:h="16839" w:orient="portrait"/>
          <w:pgMar w:top="1429" w:right="1633" w:bottom="1440" w:left="1582" w:header="0" w:footer="0" w:gutter="0"/>
          <w:pgNumType w:start="1"/>
          <w:cols w:num="1" w:sep="0" w:space="720" w:equalWidth="1"/>
          <w:docGrid w:linePitch="360"/>
        </w:sectPr>
      </w:pPr>
      <w:r/>
      <w:bookmarkStart w:id="9" w:name="_Toc21141"/>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44"/>
          <w:szCs w:val="44"/>
          <w:highlight w:val="none"/>
        </w:rPr>
        <w:t xml:space="preserve">第一章 </w:t>
      </w:r>
      <w:bookmarkEnd w:id="9"/>
      <w:r>
        <w:rPr>
          <w:rFonts w:hint="eastAsia" w:ascii="宋体" w:hAnsi="宋体" w:eastAsia="宋体" w:cs="宋体"/>
          <w:color w:val="auto"/>
          <w:sz w:val="44"/>
          <w:szCs w:val="44"/>
          <w:highlight w:val="none"/>
        </w:rPr>
        <w:t xml:space="preserve">竞争性磋商公告</w:t>
      </w:r>
      <w:r/>
    </w:p>
    <w:p>
      <w:pPr>
        <w:ind w:firstLine="480"/>
        <w:jc w:val="both"/>
        <w:pageBreakBefore w:val="0"/>
        <w:spacing w:line="520" w:lineRule="exact"/>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ind w:firstLine="480"/>
        <w:jc w:val="both"/>
        <w:pageBreakBefore w:val="0"/>
        <w:spacing w:line="520" w:lineRule="exact"/>
        <w:rPr>
          <w:rFonts w:hint="eastAsia" w:ascii="宋体" w:hAnsi="宋体" w:eastAsia="宋体" w:cs="宋体"/>
          <w:color w:val="auto"/>
          <w:sz w:val="24"/>
          <w:szCs w:val="24"/>
          <w:highlight w:val="none"/>
          <w:u w:val="singl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single"/>
        </w:rPr>
        <w:t xml:space="preserve"> 园区地块考古调查勘探工作技术服务项目 </w:t>
      </w:r>
      <w:r>
        <w:rPr>
          <w:rFonts w:hint="eastAsia" w:ascii="宋体" w:hAnsi="宋体" w:eastAsia="宋体" w:cs="宋体"/>
          <w:color w:val="auto"/>
          <w:sz w:val="24"/>
          <w:szCs w:val="24"/>
          <w:highlight w:val="none"/>
          <w:u w:val="none"/>
        </w:rPr>
        <w:t xml:space="preserve">的</w:t>
      </w:r>
      <w:r>
        <w:rPr>
          <w:rFonts w:hint="eastAsia" w:ascii="宋体" w:hAnsi="宋体" w:eastAsia="宋体" w:cs="宋体"/>
          <w:color w:val="auto"/>
          <w:sz w:val="24"/>
          <w:szCs w:val="24"/>
          <w:highlight w:val="none"/>
        </w:rPr>
        <w:t xml:space="preserve">潜在供应商可在</w:t>
      </w:r>
      <w:r>
        <w:rPr>
          <w:rFonts w:hint="eastAsia" w:ascii="宋体" w:hAnsi="宋体" w:eastAsia="宋体" w:cs="宋体"/>
          <w:color w:val="auto"/>
          <w:sz w:val="24"/>
          <w:szCs w:val="24"/>
          <w:highlight w:val="none"/>
          <w:u w:val="single"/>
        </w:rPr>
        <w:t xml:space="preserve">“苏采云”政府采购一体化平台自行免费下载</w:t>
      </w:r>
      <w:r>
        <w:rPr>
          <w:rFonts w:hint="eastAsia" w:ascii="宋体" w:hAnsi="宋体" w:eastAsia="宋体" w:cs="宋体"/>
          <w:color w:val="auto"/>
          <w:sz w:val="24"/>
          <w:szCs w:val="24"/>
          <w:highlight w:val="none"/>
        </w:rPr>
        <w:t xml:space="preserve">磋商文件，并于2025</w:t>
      </w:r>
      <w:r>
        <w:rPr>
          <w:rFonts w:hint="eastAsia" w:ascii="宋体" w:hAnsi="宋体" w:eastAsia="宋体" w:cs="宋体"/>
          <w:color w:val="auto"/>
          <w:sz w:val="24"/>
          <w:szCs w:val="24"/>
          <w:highlight w:val="none"/>
          <w:u w:val="single"/>
        </w:rPr>
        <w:t xml:space="preserve">年</w:t>
      </w:r>
      <w:r>
        <w:rPr>
          <w:rFonts w:hint="eastAsia" w:ascii="宋体" w:hAnsi="宋体" w:cs="宋体"/>
          <w:color w:val="auto"/>
          <w:sz w:val="24"/>
          <w:szCs w:val="24"/>
          <w:highlight w:val="none"/>
          <w:u w:val="single"/>
          <w:lang w:val="en-US" w:eastAsia="zh-CN"/>
        </w:rPr>
        <w:t xml:space="preserve">12</w:t>
      </w:r>
      <w:r>
        <w:rPr>
          <w:rFonts w:hint="eastAsia" w:ascii="宋体" w:hAnsi="宋体" w:eastAsia="宋体" w:cs="宋体"/>
          <w:color w:val="auto"/>
          <w:sz w:val="24"/>
          <w:szCs w:val="24"/>
          <w:highlight w:val="none"/>
          <w:u w:val="single"/>
        </w:rPr>
        <w:t xml:space="preserve">月</w:t>
      </w:r>
      <w:r>
        <w:rPr>
          <w:rFonts w:hint="eastAsia" w:ascii="宋体" w:hAnsi="宋体" w:cs="宋体"/>
          <w:color w:val="auto"/>
          <w:sz w:val="24"/>
          <w:szCs w:val="24"/>
          <w:highlight w:val="none"/>
          <w:u w:val="single"/>
          <w:lang w:val="en-US" w:eastAsia="zh-CN"/>
        </w:rPr>
        <w:t xml:space="preserve">23</w:t>
      </w:r>
      <w:r>
        <w:rPr>
          <w:rFonts w:hint="eastAsia" w:ascii="宋体" w:hAnsi="宋体" w:eastAsia="宋体" w:cs="宋体"/>
          <w:color w:val="auto"/>
          <w:sz w:val="24"/>
          <w:szCs w:val="24"/>
          <w:highlight w:val="none"/>
          <w:u w:val="single"/>
        </w:rPr>
        <w:t xml:space="preserve">日</w:t>
      </w:r>
      <w:r>
        <w:rPr>
          <w:rFonts w:hint="eastAsia" w:ascii="宋体" w:hAnsi="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rPr>
        <w:t xml:space="preserve">点00分（</w:t>
      </w:r>
      <w:r>
        <w:rPr>
          <w:rFonts w:hint="eastAsia" w:ascii="宋体" w:hAnsi="宋体" w:eastAsia="宋体" w:cs="宋体"/>
          <w:color w:val="auto"/>
          <w:sz w:val="24"/>
          <w:szCs w:val="24"/>
          <w:highlight w:val="none"/>
        </w:rPr>
        <w:t xml:space="preserve">北京时间）前递交响应文件。</w:t>
      </w:r>
      <w:r/>
    </w:p>
    <w:p>
      <w:pPr>
        <w:ind w:firstLine="482"/>
        <w:jc w:val="both"/>
        <w:keepLines/>
        <w:keepNext/>
        <w:pageBreakBefore w:val="0"/>
        <w:spacing w:line="520" w:lineRule="exact"/>
        <w:rPr>
          <w:rFonts w:hint="eastAsia" w:ascii="宋体" w:hAnsi="宋体" w:eastAsia="宋体" w:cs="宋体"/>
          <w:color w:val="auto"/>
          <w:sz w:val="24"/>
          <w:szCs w:val="24"/>
          <w:highlight w:val="none"/>
        </w:rPr>
      </w:pPr>
      <w:r/>
      <w:bookmarkStart w:id="10" w:name="_Toc28359002"/>
      <w:r/>
      <w:bookmarkEnd w:id="10"/>
      <w:r/>
      <w:bookmarkStart w:id="11" w:name="_Toc35393790"/>
      <w:r/>
      <w:bookmarkEnd w:id="11"/>
      <w:r/>
      <w:bookmarkStart w:id="12" w:name="_Toc28359079"/>
      <w:r/>
      <w:bookmarkEnd w:id="12"/>
      <w:r/>
      <w:bookmarkStart w:id="13" w:name="_Toc35393621"/>
      <w:r/>
      <w:bookmarkEnd w:id="13"/>
      <w:r/>
      <w:bookmarkStart w:id="14" w:name="_Toc38985263"/>
      <w:r/>
      <w:bookmarkEnd w:id="14"/>
      <w:r/>
      <w:bookmarkStart w:id="15" w:name="_Hlk24379207"/>
      <w:r>
        <w:rPr>
          <w:rFonts w:hint="eastAsia" w:ascii="宋体" w:hAnsi="宋体" w:eastAsia="宋体" w:cs="宋体"/>
          <w:b/>
          <w:bCs/>
          <w:color w:val="auto"/>
          <w:sz w:val="24"/>
          <w:szCs w:val="24"/>
          <w:highlight w:val="none"/>
        </w:rPr>
        <w:t xml:space="preserve">一、项目基本情况</w:t>
      </w:r>
      <w:bookmarkEnd w:id="15"/>
      <w:r/>
      <w:r/>
    </w:p>
    <w:p>
      <w:pPr>
        <w:ind w:firstLine="480"/>
        <w:jc w:val="both"/>
        <w:pageBreakBefore w:val="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1.项目编号：JSZC-321203-JTTZ-C2025-0044</w:t>
      </w:r>
      <w:r/>
    </w:p>
    <w:p>
      <w:pPr>
        <w:ind w:firstLine="480"/>
        <w:jc w:val="both"/>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2.项目名称：园区地块考古调查勘探工作技术服务项目</w:t>
      </w:r>
      <w:r/>
    </w:p>
    <w:p>
      <w:pPr>
        <w:ind w:firstLine="480"/>
        <w:jc w:val="both"/>
        <w:pageBreakBefore w:val="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3.预算金额：</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lang w:val="en-US" w:eastAsia="zh-CN"/>
        </w:rPr>
        <w:t xml:space="preserve">万</w:t>
      </w:r>
      <w:r>
        <w:rPr>
          <w:rFonts w:hint="eastAsia" w:ascii="宋体" w:hAnsi="宋体" w:eastAsia="宋体" w:cs="宋体"/>
          <w:color w:val="auto"/>
          <w:sz w:val="24"/>
          <w:szCs w:val="24"/>
          <w:highlight w:val="none"/>
        </w:rPr>
        <w:t xml:space="preserve">元</w:t>
      </w:r>
      <w:r/>
    </w:p>
    <w:p>
      <w:pPr>
        <w:ind w:firstLine="480"/>
        <w:jc w:val="both"/>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4.最高限价：</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08.42</w:t>
      </w:r>
      <w:r>
        <w:rPr>
          <w:rFonts w:hint="eastAsia" w:ascii="宋体" w:hAnsi="宋体" w:eastAsia="宋体" w:cs="宋体"/>
          <w:color w:val="auto"/>
          <w:sz w:val="24"/>
          <w:szCs w:val="24"/>
          <w:highlight w:val="none"/>
          <w:lang w:val="en-US" w:eastAsia="zh-CN"/>
        </w:rPr>
        <w:t xml:space="preserve">万元</w:t>
      </w:r>
      <w:r>
        <w:rPr>
          <w:rFonts w:hint="eastAsia" w:ascii="宋体" w:hAnsi="宋体" w:eastAsia="宋体" w:cs="宋体"/>
          <w:color w:val="auto"/>
          <w:sz w:val="24"/>
          <w:szCs w:val="24"/>
          <w:highlight w:val="none"/>
        </w:rPr>
        <w:t xml:space="preserve">，各供应商</w:t>
      </w:r>
      <w:r>
        <w:rPr>
          <w:rFonts w:hint="eastAsia" w:ascii="宋体" w:hAnsi="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报价不得高于最高限价，否则作无效响应文件处理。</w:t>
      </w:r>
      <w:r/>
    </w:p>
    <w:p>
      <w:pPr>
        <w:ind w:firstLine="480"/>
        <w:jc w:val="both"/>
        <w:pageBreakBefore w:val="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5.采购需求：</w:t>
      </w:r>
      <w:r>
        <w:rPr>
          <w:rFonts w:hint="eastAsia" w:ascii="宋体" w:hAnsi="宋体" w:eastAsia="宋体" w:cs="宋体"/>
          <w:color w:val="auto"/>
          <w:sz w:val="24"/>
          <w:szCs w:val="24"/>
          <w:highlight w:val="none"/>
          <w:lang w:val="en-US" w:eastAsia="zh-CN"/>
        </w:rPr>
        <w:t xml:space="preserve">对泰州市高港区化学新材料产业园区内两个拟开发地块进行考古调查、文物勘探。具体位置：地块一位于内泰镇路西侧、创汇路南侧，面积约120000㎡；地块二位于园内滨江金属物流交易市场南侧、南官河西侧，面积约19000㎡。</w:t>
      </w:r>
      <w:r>
        <w:rPr>
          <w:rFonts w:hint="eastAsia" w:ascii="宋体" w:hAnsi="宋体" w:eastAsia="宋体" w:cs="宋体"/>
          <w:color w:val="auto"/>
          <w:sz w:val="24"/>
          <w:szCs w:val="24"/>
          <w:highlight w:val="none"/>
          <w:u w:val="none"/>
          <w:lang w:val="en-US" w:eastAsia="zh-CN"/>
        </w:rPr>
        <w:t xml:space="preserve">具体要求详见磋商文件。</w:t>
      </w:r>
      <w:r/>
    </w:p>
    <w:p>
      <w:pPr>
        <w:ind w:firstLine="480"/>
        <w:jc w:val="both"/>
        <w:pageBreakBefore w:val="0"/>
        <w:spacing w:line="520" w:lineRule="exact"/>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rPr>
        <w:t xml:space="preserve">6.合同履</w:t>
      </w:r>
      <w:r>
        <w:rPr>
          <w:rFonts w:hint="eastAsia" w:ascii="宋体" w:hAnsi="宋体" w:eastAsia="宋体" w:cs="宋体"/>
          <w:color w:val="auto"/>
          <w:sz w:val="24"/>
          <w:szCs w:val="24"/>
          <w:highlight w:val="none"/>
          <w:u w:val="none"/>
          <w:lang w:val="en-US" w:eastAsia="zh-CN"/>
        </w:rPr>
        <w:t xml:space="preserve">行期限：</w:t>
      </w:r>
      <w:r>
        <w:rPr>
          <w:rFonts w:hint="eastAsia" w:ascii="宋体" w:hAnsi="宋体" w:cs="宋体"/>
          <w:color w:val="auto"/>
          <w:sz w:val="24"/>
          <w:szCs w:val="24"/>
          <w:highlight w:val="none"/>
          <w:u w:val="none"/>
          <w:lang w:val="en-US" w:eastAsia="zh-CN"/>
        </w:rPr>
        <w:t xml:space="preserve">自签订合同之日起2个月内</w:t>
      </w:r>
      <w:r>
        <w:rPr>
          <w:rFonts w:hint="eastAsia" w:ascii="宋体" w:hAnsi="宋体" w:eastAsia="宋体" w:cs="宋体"/>
          <w:color w:val="auto"/>
          <w:sz w:val="24"/>
          <w:szCs w:val="24"/>
          <w:highlight w:val="none"/>
          <w:lang w:val="en-US" w:eastAsia="zh-CN"/>
        </w:rPr>
        <w:t xml:space="preserve">完成全部工作。</w:t>
      </w:r>
      <w:r/>
    </w:p>
    <w:p>
      <w:pPr>
        <w:ind w:firstLine="480"/>
        <w:jc w:val="both"/>
        <w:pageBreakBefore w:val="0"/>
        <w:spacing w:line="520" w:lineRule="exact"/>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 xml:space="preserve">7.本项目不接受联合体。</w:t>
      </w:r>
      <w:bookmarkStart w:id="16" w:name="_Toc35393791"/>
      <w:r/>
      <w:bookmarkEnd w:id="16"/>
      <w:r/>
      <w:bookmarkStart w:id="17" w:name="_Toc35393622"/>
      <w:r/>
      <w:bookmarkEnd w:id="17"/>
      <w:r/>
      <w:bookmarkStart w:id="18" w:name="_Toc28359080"/>
      <w:r/>
      <w:bookmarkEnd w:id="18"/>
      <w:r/>
      <w:bookmarkStart w:id="19" w:name="_Toc28359003"/>
      <w:r/>
      <w:bookmarkEnd w:id="19"/>
      <w:r/>
      <w:bookmarkStart w:id="20" w:name="_Toc38985264"/>
      <w:r/>
      <w:r/>
    </w:p>
    <w:p>
      <w:pPr>
        <w:ind w:firstLine="482"/>
        <w:jc w:val="both"/>
        <w:pageBreakBefore w:val="0"/>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二、申请人的资格要求：</w:t>
      </w:r>
      <w:bookmarkEnd w:id="20"/>
      <w:r/>
      <w:bookmarkStart w:id="21" w:name="_Toc35393792"/>
      <w:r/>
      <w:bookmarkEnd w:id="21"/>
      <w:r/>
      <w:bookmarkStart w:id="22" w:name="_Toc35393623"/>
      <w:r/>
      <w:bookmarkEnd w:id="22"/>
      <w:r/>
      <w:bookmarkStart w:id="23" w:name="_Toc28359004"/>
      <w:r/>
      <w:bookmarkEnd w:id="23"/>
      <w:r/>
      <w:bookmarkStart w:id="24" w:name="_Toc28359081"/>
      <w:r/>
      <w:bookmarkEnd w:id="24"/>
      <w:r/>
      <w:r/>
    </w:p>
    <w:p>
      <w:pPr>
        <w:ind w:firstLine="480"/>
        <w:jc w:val="both"/>
        <w:pageBreakBefore w:val="0"/>
        <w:spacing w:line="520" w:lineRule="exact"/>
        <w:tabs>
          <w:tab w:val="left" w:pos="40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（一）满足《中华人民共和国政府采购法》第二十二条规定：</w:t>
      </w:r>
      <w:r/>
    </w:p>
    <w:p>
      <w:pPr>
        <w:ind w:firstLine="480"/>
        <w:jc w:val="both"/>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1.具有独立承担民事责任的能力；</w:t>
      </w:r>
      <w:r/>
    </w:p>
    <w:p>
      <w:pPr>
        <w:ind w:firstLine="480"/>
        <w:jc w:val="both"/>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w:t>
      </w:r>
      <w:r/>
    </w:p>
    <w:p>
      <w:pPr>
        <w:ind w:firstLine="480"/>
        <w:jc w:val="both"/>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3.具有履行合同所必需的设备和专业技术能力；</w:t>
      </w:r>
      <w:r/>
    </w:p>
    <w:p>
      <w:pPr>
        <w:ind w:firstLine="480"/>
        <w:jc w:val="both"/>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4.有依法缴纳税收和社会保障资金的良好记录；</w:t>
      </w:r>
      <w:r/>
    </w:p>
    <w:p>
      <w:pPr>
        <w:ind w:firstLine="480"/>
        <w:jc w:val="both"/>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5.参加政府采购活动前三年内，在经营活动中没有重大违法记录</w:t>
      </w:r>
      <w:r>
        <w:rPr>
          <w:rFonts w:hint="eastAsia" w:ascii="宋体" w:hAnsi="宋体" w:eastAsia="宋体" w:cs="宋体"/>
          <w:color w:val="auto"/>
          <w:sz w:val="24"/>
          <w:szCs w:val="24"/>
          <w:highlight w:val="none"/>
        </w:rPr>
        <w:t xml:space="preserve">。</w:t>
      </w:r>
      <w:r/>
    </w:p>
    <w:p>
      <w:pPr>
        <w:ind w:firstLine="480"/>
        <w:jc w:val="both"/>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落实政府采购政策需满足的资格要求：本项目属于其他未列明行业，不专门面向中小微企业、监狱企业、残疾人福利性单位，对符合条件的小型和微型企业、残疾人福利单位、监狱企业给予10%的扣除价格，用扣除后的价格参与评审。</w:t>
      </w:r>
      <w:r/>
    </w:p>
    <w:p>
      <w:pPr>
        <w:ind w:firstLine="480"/>
        <w:jc w:val="both"/>
        <w:pageBreakBefore w:val="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（三）</w:t>
      </w:r>
      <w:r>
        <w:rPr>
          <w:rFonts w:hint="eastAsia" w:ascii="宋体" w:hAnsi="宋体" w:eastAsia="宋体" w:cs="宋体"/>
          <w:b/>
          <w:bCs/>
          <w:color w:val="auto"/>
          <w:sz w:val="24"/>
          <w:szCs w:val="24"/>
          <w:highlight w:val="none"/>
        </w:rPr>
        <w:t xml:space="preserve">本项目的特定资格要求：供应商须具有国家文物局颁发的考古发掘资质</w:t>
      </w:r>
      <w:r>
        <w:rPr>
          <w:rFonts w:hint="eastAsia" w:ascii="宋体" w:hAnsi="宋体" w:eastAsia="宋体" w:cs="宋体"/>
          <w:b/>
          <w:bCs/>
          <w:color w:val="auto"/>
          <w:sz w:val="24"/>
          <w:szCs w:val="24"/>
          <w:highlight w:val="none"/>
          <w:lang w:val="en-US" w:eastAsia="zh-CN"/>
        </w:rPr>
        <w:t xml:space="preserve">；</w:t>
      </w:r>
      <w:r/>
    </w:p>
    <w:p>
      <w:pPr>
        <w:ind w:firstLine="480"/>
        <w:jc w:val="both"/>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单位负责人为同一人或者存在直接控股、管理关系的不同供应商，不得同时参加本项目的投标活动；为采购项目提供整体设计、规范编制或者项目管理、监理、检测等服务的供应商，不得再参加该项目的其他采购活动；</w:t>
      </w:r>
      <w:r/>
    </w:p>
    <w:p>
      <w:pPr>
        <w:ind w:firstLine="480"/>
        <w:jc w:val="both"/>
        <w:pageBreakBefore w:val="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未被“信用中国”网站（www.creditchina.gov.cn）列入失信被执行人、重大税收违法失信主体、政府采购严重</w:t>
      </w:r>
      <w:r>
        <w:rPr>
          <w:rFonts w:hint="eastAsia" w:ascii="宋体" w:hAnsi="宋体" w:eastAsia="宋体" w:cs="宋体"/>
          <w:color w:val="auto"/>
          <w:sz w:val="24"/>
          <w:szCs w:val="24"/>
          <w:highlight w:val="none"/>
          <w:lang w:val="en-US" w:eastAsia="zh-CN"/>
        </w:rPr>
        <w:t xml:space="preserve">违法</w:t>
      </w:r>
      <w:r>
        <w:rPr>
          <w:rFonts w:hint="eastAsia" w:ascii="宋体" w:hAnsi="宋体" w:eastAsia="宋体" w:cs="宋体"/>
          <w:color w:val="auto"/>
          <w:sz w:val="24"/>
          <w:szCs w:val="24"/>
          <w:highlight w:val="none"/>
        </w:rPr>
        <w:t xml:space="preserve">失信行为记录名单</w:t>
      </w:r>
      <w:r>
        <w:rPr>
          <w:rFonts w:hint="eastAsia" w:ascii="宋体" w:hAnsi="宋体" w:eastAsia="宋体" w:cs="宋体"/>
          <w:color w:val="auto"/>
          <w:sz w:val="24"/>
          <w:szCs w:val="24"/>
          <w:highlight w:val="none"/>
          <w:lang w:eastAsia="zh-CN"/>
        </w:rPr>
        <w:t xml:space="preserve">。</w:t>
      </w:r>
      <w:r/>
    </w:p>
    <w:p>
      <w:pPr>
        <w:ind w:firstLine="482"/>
        <w:jc w:val="both"/>
        <w:keepLines/>
        <w:keepNext/>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三、获取磋商文件</w:t>
      </w:r>
      <w:r/>
    </w:p>
    <w:p>
      <w:pPr>
        <w:ind w:firstLine="480"/>
        <w:jc w:val="both"/>
        <w:pageBreakBefore w:val="0"/>
        <w:spacing w:line="520" w:lineRule="exact"/>
        <w:rPr>
          <w:rFonts w:hint="eastAsia" w:ascii="宋体" w:hAnsi="宋体" w:eastAsia="宋体" w:cs="宋体"/>
          <w:color w:val="auto"/>
          <w:sz w:val="24"/>
          <w:szCs w:val="24"/>
          <w:highlight w:val="none"/>
        </w:rPr>
      </w:pPr>
      <w:r/>
      <w:bookmarkStart w:id="25" w:name="_Toc35393624"/>
      <w:r/>
      <w:bookmarkEnd w:id="25"/>
      <w:r/>
      <w:bookmarkStart w:id="26" w:name="_Toc35393793"/>
      <w:r/>
      <w:bookmarkEnd w:id="26"/>
      <w:r/>
      <w:bookmarkStart w:id="27" w:name="_Toc28359082"/>
      <w:r/>
      <w:bookmarkEnd w:id="27"/>
      <w:r/>
      <w:bookmarkStart w:id="28" w:name="_Toc28359005"/>
      <w:r/>
      <w:bookmarkEnd w:id="28"/>
      <w:r/>
      <w:bookmarkStart w:id="29" w:name="_Toc38985266"/>
      <w:r>
        <w:rPr>
          <w:rFonts w:hint="eastAsia" w:ascii="宋体" w:hAnsi="宋体" w:eastAsia="宋体" w:cs="宋体"/>
          <w:color w:val="auto"/>
          <w:sz w:val="24"/>
          <w:szCs w:val="24"/>
          <w:highlight w:val="none"/>
        </w:rPr>
        <w:t xml:space="preserve">1.时间：</w:t>
      </w:r>
      <w:bookmarkEnd w:id="29"/>
      <w:r>
        <w:rPr>
          <w:rFonts w:hint="eastAsia" w:ascii="宋体" w:hAnsi="宋体" w:eastAsia="宋体" w:cs="宋体"/>
          <w:color w:val="auto"/>
          <w:sz w:val="24"/>
          <w:szCs w:val="24"/>
          <w:highlight w:val="none"/>
        </w:rPr>
        <w:t xml:space="preserve">自</w:t>
      </w:r>
      <w:r>
        <w:rPr>
          <w:rFonts w:hint="eastAsia" w:ascii="宋体" w:hAnsi="宋体" w:eastAsia="宋体" w:cs="宋体"/>
          <w:color w:val="auto"/>
          <w:sz w:val="24"/>
          <w:szCs w:val="24"/>
          <w:highlight w:val="none"/>
          <w:lang w:val="en-US" w:eastAsia="zh-CN"/>
        </w:rPr>
        <w:t xml:space="preserve">2025年</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val="en-US" w:eastAsia="zh-CN"/>
        </w:rPr>
        <w:t xml:space="preserve">月</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val="en-US" w:eastAsia="zh-CN"/>
        </w:rPr>
        <w:t xml:space="preserve">日0:00-</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val="en-US" w:eastAsia="zh-CN"/>
        </w:rPr>
        <w:t xml:space="preserve">月</w:t>
      </w:r>
      <w:r>
        <w:rPr>
          <w:rFonts w:hint="eastAsia" w:ascii="宋体" w:hAnsi="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lang w:val="en-US" w:eastAsia="zh-CN"/>
        </w:rPr>
        <w:t xml:space="preserve">日0:00</w:t>
      </w:r>
      <w:r>
        <w:rPr>
          <w:rFonts w:hint="eastAsia" w:ascii="宋体" w:hAnsi="宋体" w:eastAsia="宋体" w:cs="宋体"/>
          <w:color w:val="auto"/>
          <w:sz w:val="24"/>
          <w:szCs w:val="24"/>
          <w:highlight w:val="none"/>
        </w:rPr>
        <w:t xml:space="preserve">。</w:t>
      </w:r>
      <w:r/>
    </w:p>
    <w:p>
      <w:pPr>
        <w:ind w:firstLine="480"/>
        <w:jc w:val="both"/>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2.地点：供应商完成注册并办理CA证书后在“苏采云”系统下载本项目的采购文件</w:t>
      </w:r>
      <w:r/>
    </w:p>
    <w:p>
      <w:pPr>
        <w:ind w:firstLine="480"/>
        <w:jc w:val="both"/>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3.方式：登录“苏采云”系统自行下载</w:t>
      </w:r>
      <w:r/>
    </w:p>
    <w:p>
      <w:pPr>
        <w:ind w:firstLine="480"/>
        <w:jc w:val="both"/>
        <w:keepLines/>
        <w:keepNext/>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4.售价：免费</w:t>
      </w:r>
      <w:r/>
    </w:p>
    <w:p>
      <w:pPr>
        <w:ind w:firstLine="482"/>
        <w:jc w:val="both"/>
        <w:keepLines/>
        <w:keepNext/>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四、提交响应文件截止时间</w:t>
      </w:r>
      <w:r/>
    </w:p>
    <w:p>
      <w:pPr>
        <w:ind w:firstLine="480"/>
        <w:jc w:val="both"/>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1.截止时间：</w:t>
      </w:r>
      <w:r>
        <w:rPr>
          <w:rFonts w:hint="eastAsia" w:ascii="宋体" w:hAnsi="宋体" w:eastAsia="宋体" w:cs="宋体"/>
          <w:color w:val="auto"/>
          <w:sz w:val="24"/>
          <w:szCs w:val="24"/>
          <w:highlight w:val="none"/>
          <w:u w:val="single"/>
        </w:rPr>
        <w:t xml:space="preserve">202</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年</w:t>
      </w:r>
      <w:r>
        <w:rPr>
          <w:rFonts w:hint="eastAsia" w:ascii="宋体" w:hAnsi="宋体" w:cs="宋体"/>
          <w:color w:val="auto"/>
          <w:sz w:val="24"/>
          <w:szCs w:val="24"/>
          <w:highlight w:val="none"/>
          <w:u w:val="single"/>
          <w:lang w:val="en-US" w:eastAsia="zh-CN"/>
        </w:rPr>
        <w:t xml:space="preserve">12</w:t>
      </w:r>
      <w:r>
        <w:rPr>
          <w:rFonts w:hint="eastAsia" w:ascii="宋体" w:hAnsi="宋体" w:eastAsia="宋体" w:cs="宋体"/>
          <w:color w:val="auto"/>
          <w:sz w:val="24"/>
          <w:szCs w:val="24"/>
          <w:highlight w:val="none"/>
          <w:u w:val="single"/>
        </w:rPr>
        <w:t xml:space="preserve">月</w:t>
      </w:r>
      <w:r>
        <w:rPr>
          <w:rFonts w:hint="eastAsia" w:ascii="宋体" w:hAnsi="宋体" w:cs="宋体"/>
          <w:color w:val="auto"/>
          <w:sz w:val="24"/>
          <w:szCs w:val="24"/>
          <w:highlight w:val="none"/>
          <w:u w:val="single"/>
          <w:lang w:val="en-US" w:eastAsia="zh-CN"/>
        </w:rPr>
        <w:t xml:space="preserve">23</w:t>
      </w:r>
      <w:r>
        <w:rPr>
          <w:rFonts w:hint="eastAsia" w:ascii="宋体" w:hAnsi="宋体" w:eastAsia="宋体" w:cs="宋体"/>
          <w:color w:val="auto"/>
          <w:sz w:val="24"/>
          <w:szCs w:val="24"/>
          <w:highlight w:val="none"/>
          <w:u w:val="single"/>
        </w:rPr>
        <w:t xml:space="preserve">日</w:t>
      </w:r>
      <w:r>
        <w:rPr>
          <w:rFonts w:hint="eastAsia" w:ascii="宋体" w:hAnsi="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rPr>
        <w:t xml:space="preserve">点00分</w:t>
      </w:r>
      <w:r>
        <w:rPr>
          <w:rFonts w:hint="eastAsia" w:ascii="宋体" w:hAnsi="宋体" w:eastAsia="宋体" w:cs="宋体"/>
          <w:color w:val="auto"/>
          <w:sz w:val="24"/>
          <w:szCs w:val="24"/>
          <w:highlight w:val="none"/>
        </w:rPr>
        <w:t xml:space="preserve">（北京时间）。</w:t>
      </w:r>
      <w:r/>
    </w:p>
    <w:p>
      <w:pPr>
        <w:ind w:firstLine="480"/>
        <w:jc w:val="both"/>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2.地点：“苏采云”系统“开标大厅</w:t>
      </w:r>
      <w:bookmarkStart w:id="199" w:name="_GoBack"/>
      <w:r/>
      <w:bookmarkEnd w:id="199"/>
      <w:r>
        <w:rPr>
          <w:rFonts w:hint="eastAsia" w:ascii="宋体" w:hAnsi="宋体" w:eastAsia="宋体" w:cs="宋体"/>
          <w:color w:val="auto"/>
          <w:sz w:val="24"/>
          <w:szCs w:val="24"/>
          <w:highlight w:val="none"/>
        </w:rPr>
        <w:t xml:space="preserve">”</w:t>
      </w:r>
      <w:r/>
    </w:p>
    <w:p>
      <w:pPr>
        <w:ind w:firstLine="482"/>
        <w:jc w:val="both"/>
        <w:keepLines/>
        <w:keepNext/>
        <w:pageBreakBefore w:val="0"/>
        <w:spacing w:line="520" w:lineRule="exact"/>
        <w:rPr>
          <w:rFonts w:hint="eastAsia" w:ascii="宋体" w:hAnsi="宋体" w:eastAsia="宋体" w:cs="宋体"/>
          <w:color w:val="auto"/>
          <w:sz w:val="24"/>
          <w:szCs w:val="24"/>
          <w:highlight w:val="none"/>
        </w:rPr>
      </w:pPr>
      <w:r/>
      <w:bookmarkStart w:id="30" w:name="_Toc35393625"/>
      <w:r/>
      <w:bookmarkEnd w:id="30"/>
      <w:r/>
      <w:bookmarkStart w:id="31" w:name="_Toc28359084"/>
      <w:r/>
      <w:bookmarkEnd w:id="31"/>
      <w:r/>
      <w:bookmarkStart w:id="32" w:name="_Toc28359007"/>
      <w:r/>
      <w:bookmarkEnd w:id="32"/>
      <w:r/>
      <w:bookmarkStart w:id="33" w:name="_Toc35393794"/>
      <w:r/>
      <w:bookmarkEnd w:id="33"/>
      <w:r/>
      <w:bookmarkStart w:id="34" w:name="_Toc38985267"/>
      <w:r>
        <w:rPr>
          <w:rFonts w:hint="eastAsia" w:ascii="宋体" w:hAnsi="宋体" w:eastAsia="宋体" w:cs="宋体"/>
          <w:b/>
          <w:bCs/>
          <w:color w:val="auto"/>
          <w:sz w:val="24"/>
          <w:szCs w:val="24"/>
          <w:highlight w:val="none"/>
        </w:rPr>
        <w:t xml:space="preserve">五、公告期限</w:t>
      </w:r>
      <w:bookmarkEnd w:id="34"/>
      <w:r/>
      <w:r/>
    </w:p>
    <w:p>
      <w:pPr>
        <w:ind w:firstLine="480"/>
        <w:jc w:val="both"/>
        <w:pageBreakBefore w:val="0"/>
        <w:spacing w:line="520" w:lineRule="exact"/>
        <w:rPr>
          <w:rFonts w:hint="eastAsia" w:ascii="宋体" w:hAnsi="宋体" w:eastAsia="宋体" w:cs="宋体"/>
          <w:color w:val="auto"/>
          <w:sz w:val="24"/>
          <w:szCs w:val="24"/>
          <w:highlight w:val="none"/>
        </w:rPr>
      </w:pPr>
      <w:r/>
      <w:bookmarkStart w:id="35" w:name="_Toc35393795"/>
      <w:r/>
      <w:bookmarkEnd w:id="35"/>
      <w:r/>
      <w:bookmarkStart w:id="36" w:name="_Toc35393626"/>
      <w:r/>
      <w:bookmarkEnd w:id="36"/>
      <w:r/>
      <w:bookmarkStart w:id="37" w:name="_Toc38985268"/>
      <w:r>
        <w:rPr>
          <w:rFonts w:hint="eastAsia" w:ascii="宋体" w:hAnsi="宋体" w:eastAsia="宋体" w:cs="宋体"/>
          <w:color w:val="auto"/>
          <w:sz w:val="24"/>
          <w:szCs w:val="24"/>
          <w:highlight w:val="none"/>
        </w:rPr>
        <w:t xml:space="preserve">自本公告发布之日起3个工作日。</w:t>
      </w:r>
      <w:bookmarkEnd w:id="37"/>
      <w:r/>
      <w:r/>
    </w:p>
    <w:p>
      <w:pPr>
        <w:ind w:firstLine="482"/>
        <w:jc w:val="both"/>
        <w:keepLines/>
        <w:keepNext/>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六、其他补充事宜</w:t>
      </w:r>
      <w:r/>
    </w:p>
    <w:p>
      <w:pPr>
        <w:ind w:firstLine="480"/>
        <w:jc w:val="both"/>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1.根据省财政厅《关于更换全</w:t>
      </w:r>
      <w:r>
        <w:rPr>
          <w:rFonts w:hint="eastAsia" w:ascii="宋体" w:hAnsi="宋体" w:eastAsia="宋体" w:cs="宋体"/>
          <w:color w:val="auto"/>
          <w:sz w:val="24"/>
          <w:szCs w:val="24"/>
          <w:highlight w:val="none"/>
        </w:rPr>
        <w:t xml:space="preserve">省政府采购交易系统CA数字证书和电子签章的通知》（苏财购〔2023〕101号），“苏采云”政府采购交易系统（以下简称苏采云系统）的CA数字证书、电子签章已更换为江苏省电子政务证书认证中心CA数字证书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480"/>
        <w:jc w:val="both"/>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领取CA和办理电子签章（请至泰州市高港区泰州大道388号（原中国医药城会展交易中心W3馆西南角）公共资源交易中心一楼大厅6号窗口办理，具体联系方式见《苏采云系统供应商操作手册》（以下简称《操作手册》）、进行注册并按《操作手册》要求制作、上传电子响应文件。</w:t>
      </w:r>
      <w:r/>
    </w:p>
    <w:p>
      <w:pPr>
        <w:ind w:firstLine="480"/>
        <w:jc w:val="both"/>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2.有关本次</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的事项若存在变动或修改，敬请及时关注江苏建泰工程项目管理有限公司在“江苏政府采购网”发布的更正公告。</w:t>
      </w:r>
      <w:r/>
    </w:p>
    <w:p>
      <w:pPr>
        <w:ind w:firstLine="480"/>
        <w:jc w:val="both"/>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3.本次</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不收取</w:t>
      </w:r>
      <w:r>
        <w:rPr>
          <w:rFonts w:hint="eastAsia" w:ascii="宋体" w:hAnsi="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保证金。 </w:t>
      </w:r>
      <w:r/>
    </w:p>
    <w:p>
      <w:pPr>
        <w:ind w:firstLine="482"/>
        <w:jc w:val="both"/>
        <w:keepLines/>
        <w:keepNext/>
        <w:pageBreakBefore w:val="0"/>
        <w:spacing w:line="520" w:lineRule="exact"/>
        <w:rPr>
          <w:rFonts w:hint="eastAsia" w:ascii="宋体" w:hAnsi="宋体" w:eastAsia="宋体" w:cs="宋体"/>
          <w:color w:val="auto"/>
          <w:sz w:val="24"/>
          <w:szCs w:val="24"/>
          <w:highlight w:val="none"/>
        </w:rPr>
      </w:pPr>
      <w:r/>
      <w:bookmarkStart w:id="38" w:name="_Toc28359085"/>
      <w:r/>
      <w:bookmarkEnd w:id="38"/>
      <w:r/>
      <w:bookmarkStart w:id="39" w:name="_Toc35393796"/>
      <w:r/>
      <w:bookmarkEnd w:id="39"/>
      <w:r/>
      <w:bookmarkStart w:id="40" w:name="_Toc28359008"/>
      <w:r/>
      <w:bookmarkEnd w:id="40"/>
      <w:r/>
      <w:bookmarkStart w:id="41" w:name="_Toc35393627"/>
      <w:r/>
      <w:bookmarkEnd w:id="41"/>
      <w:r/>
      <w:bookmarkStart w:id="42" w:name="_Toc38985269"/>
      <w:r>
        <w:rPr>
          <w:rFonts w:hint="eastAsia" w:ascii="宋体" w:hAnsi="宋体" w:eastAsia="宋体" w:cs="宋体"/>
          <w:b/>
          <w:bCs/>
          <w:color w:val="auto"/>
          <w:sz w:val="24"/>
          <w:szCs w:val="24"/>
          <w:highlight w:val="none"/>
        </w:rPr>
        <w:t xml:space="preserve">七、本次磋商联系方式</w:t>
      </w:r>
      <w:bookmarkEnd w:id="42"/>
      <w:r/>
      <w:r/>
    </w:p>
    <w:p>
      <w:pPr>
        <w:ind w:firstLine="480"/>
        <w:jc w:val="both"/>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firstLine="480"/>
        <w:jc w:val="both"/>
        <w:pageBreakBefore w:val="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rPr>
        <w:t xml:space="preserve">泰州医药高新区（高港区）滨江工业园管理办公室</w:t>
      </w:r>
      <w:r/>
    </w:p>
    <w:p>
      <w:pPr>
        <w:ind w:firstLine="480"/>
        <w:jc w:val="both"/>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江苏省泰州滨江工业园区疏港路2号‌‌</w:t>
      </w:r>
      <w:r/>
    </w:p>
    <w:p>
      <w:pPr>
        <w:ind w:firstLine="480"/>
        <w:jc w:val="both"/>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陈</w:t>
      </w:r>
      <w:r>
        <w:rPr>
          <w:rFonts w:hint="eastAsia" w:ascii="宋体" w:hAnsi="宋体" w:eastAsia="宋体" w:cs="宋体"/>
          <w:color w:val="auto"/>
          <w:sz w:val="24"/>
          <w:szCs w:val="24"/>
          <w:highlight w:val="none"/>
          <w:u w:val="single"/>
          <w:lang w:val="en-US" w:eastAsia="zh-CN"/>
        </w:rPr>
        <w:t xml:space="preserve">先生</w:t>
      </w:r>
      <w:r>
        <w:rPr>
          <w:rFonts w:hint="eastAsia" w:ascii="宋体" w:hAnsi="宋体" w:eastAsia="宋体" w:cs="宋体"/>
          <w:color w:val="auto"/>
          <w:sz w:val="24"/>
          <w:szCs w:val="24"/>
          <w:highlight w:val="none"/>
          <w:u w:val="single"/>
        </w:rPr>
        <w:t xml:space="preserve"> </w:t>
      </w:r>
      <w:r/>
    </w:p>
    <w:p>
      <w:pPr>
        <w:ind w:firstLine="480"/>
        <w:jc w:val="both"/>
        <w:pageBreakBefore w:val="0"/>
        <w:spacing w:line="52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联系方式：</w:t>
      </w:r>
      <w:r>
        <w:rPr>
          <w:rFonts w:hint="eastAsia" w:ascii="宋体" w:hAnsi="宋体" w:cs="宋体"/>
          <w:color w:val="auto"/>
          <w:sz w:val="24"/>
          <w:szCs w:val="24"/>
          <w:highlight w:val="none"/>
          <w:u w:val="single"/>
          <w:lang w:val="en-US" w:eastAsia="zh-CN"/>
        </w:rPr>
        <w:t xml:space="preserve"> 15850886572 </w:t>
      </w:r>
      <w:r>
        <w:rPr>
          <w:rFonts w:hint="eastAsia" w:ascii="宋体" w:hAnsi="宋体" w:eastAsia="宋体" w:cs="宋体"/>
          <w:color w:val="auto"/>
          <w:sz w:val="24"/>
          <w:szCs w:val="24"/>
          <w:highlight w:val="none"/>
          <w:u w:val="single"/>
          <w:lang w:val="en-US" w:eastAsia="zh-CN"/>
        </w:rPr>
        <w:t xml:space="preserve"> </w:t>
      </w:r>
      <w:r/>
    </w:p>
    <w:p>
      <w:pPr>
        <w:ind w:firstLine="480"/>
        <w:jc w:val="both"/>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r/>
    </w:p>
    <w:p>
      <w:pPr>
        <w:ind w:firstLine="480"/>
        <w:jc w:val="both"/>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u w:val="single"/>
        </w:rPr>
        <w:t xml:space="preserve">江苏建泰工程项目管理有限公司</w:t>
      </w:r>
      <w:r/>
    </w:p>
    <w:p>
      <w:pPr>
        <w:ind w:firstLine="480"/>
        <w:jc w:val="both"/>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u w:val="single"/>
        </w:rPr>
        <w:t xml:space="preserve">泰州市海陵区凤凰东路68号建工大厦18楼1808室</w:t>
      </w:r>
      <w:r/>
    </w:p>
    <w:p>
      <w:pPr>
        <w:ind w:firstLine="480"/>
        <w:jc w:val="both"/>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周女士</w:t>
      </w:r>
      <w:r/>
    </w:p>
    <w:p>
      <w:pPr>
        <w:ind w:firstLine="480"/>
        <w:jc w:val="both"/>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w:t>
      </w:r>
      <w:bookmarkStart w:id="43" w:name="_Toc28359010"/>
      <w:r/>
      <w:bookmarkEnd w:id="43"/>
      <w:r/>
      <w:bookmarkStart w:id="44" w:name="_Toc28359087"/>
      <w:r>
        <w:rPr>
          <w:rFonts w:hint="eastAsia" w:ascii="宋体" w:hAnsi="宋体" w:eastAsia="宋体" w:cs="宋体"/>
          <w:color w:val="auto"/>
          <w:sz w:val="24"/>
          <w:szCs w:val="24"/>
          <w:highlight w:val="none"/>
          <w:u w:val="single"/>
        </w:rPr>
        <w:t xml:space="preserve">0523-86898015 </w:t>
      </w:r>
      <w:bookmarkEnd w:id="44"/>
      <w:r/>
      <w:r/>
    </w:p>
    <w:p>
      <w:pPr>
        <w:ind w:firstLine="480"/>
        <w:jc w:val="both"/>
        <w:pageBreakBefore w:val="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3.项目联系方式</w:t>
      </w:r>
      <w:r/>
    </w:p>
    <w:p>
      <w:pPr>
        <w:ind w:firstLine="480"/>
        <w:jc w:val="both"/>
        <w:pageBreakBefore w:val="0"/>
        <w:spacing w:line="52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周女士</w:t>
      </w:r>
      <w:r/>
    </w:p>
    <w:p>
      <w:pPr>
        <w:ind w:firstLine="480"/>
        <w:pageBreakBefore w:val="0"/>
        <w:spacing w:line="460" w:lineRule="exact"/>
        <w:rPr>
          <w:rFonts w:hint="eastAsia" w:ascii="宋体" w:hAnsi="宋体" w:eastAsia="宋体" w:cs="宋体"/>
          <w:color w:val="auto"/>
          <w:sz w:val="24"/>
          <w:highlight w:val="none"/>
          <w:u w:val="single"/>
        </w:rPr>
      </w:pP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u w:val="single"/>
        </w:rPr>
        <w:t xml:space="preserve">0523-86898015</w:t>
      </w:r>
      <w:r/>
    </w:p>
    <w:p>
      <w:pPr>
        <w:pStyle w:val="925"/>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925"/>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925"/>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925"/>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925"/>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925"/>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925"/>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925"/>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925"/>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935"/>
        <w:ind w:firstLine="0"/>
        <w:jc w:val="center"/>
        <w:rPr>
          <w:rFonts w:hint="eastAsia" w:ascii="宋体" w:hAnsi="宋体" w:eastAsia="宋体" w:cs="宋体"/>
          <w:color w:val="auto"/>
          <w:sz w:val="44"/>
          <w:szCs w:val="44"/>
          <w:highlight w:val="none"/>
        </w:rPr>
        <w:outlineLvl w:val="0"/>
      </w:pPr>
      <w:r/>
      <w:bookmarkStart w:id="45" w:name="_Toc120614211"/>
      <w:r/>
      <w:bookmarkStart w:id="46" w:name="_Toc24442"/>
      <w:r>
        <w:rPr>
          <w:rFonts w:hint="eastAsia" w:ascii="宋体" w:hAnsi="宋体" w:eastAsia="宋体" w:cs="宋体"/>
          <w:color w:val="auto"/>
          <w:sz w:val="44"/>
          <w:szCs w:val="44"/>
          <w:highlight w:val="none"/>
        </w:rPr>
        <w:t xml:space="preserve">第二章 </w:t>
      </w:r>
      <w:bookmarkEnd w:id="45"/>
      <w:r>
        <w:rPr>
          <w:rFonts w:hint="eastAsia" w:ascii="宋体" w:hAnsi="宋体" w:eastAsia="宋体" w:cs="宋体"/>
          <w:color w:val="auto"/>
          <w:sz w:val="44"/>
          <w:szCs w:val="44"/>
          <w:highlight w:val="none"/>
        </w:rPr>
        <w:t xml:space="preserve">供应商须知</w:t>
      </w:r>
      <w:bookmarkEnd w:id="46"/>
      <w:r/>
      <w:r/>
    </w:p>
    <w:p>
      <w:pPr>
        <w:ind w:firstLine="482"/>
        <w:keepLines/>
        <w:keepNext/>
        <w:spacing w:line="520" w:lineRule="exact"/>
        <w:rPr>
          <w:rFonts w:hint="eastAsia" w:ascii="宋体" w:hAnsi="宋体" w:eastAsia="宋体" w:cs="宋体"/>
          <w:color w:val="auto"/>
          <w:sz w:val="24"/>
          <w:szCs w:val="24"/>
          <w:highlight w:val="none"/>
        </w:rPr>
      </w:pPr>
      <w:r/>
      <w:bookmarkStart w:id="47" w:name="_Toc16938519"/>
      <w:r/>
      <w:bookmarkEnd w:id="47"/>
      <w:r/>
      <w:bookmarkStart w:id="48" w:name="_Toc513029203"/>
      <w:r/>
      <w:bookmarkEnd w:id="48"/>
      <w:r/>
      <w:bookmarkStart w:id="49" w:name="_Toc20823275"/>
      <w:r/>
      <w:bookmarkEnd w:id="49"/>
      <w:r/>
      <w:bookmarkStart w:id="50" w:name="_Toc120614214"/>
      <w:r>
        <w:rPr>
          <w:rFonts w:hint="eastAsia" w:ascii="宋体" w:hAnsi="宋体" w:eastAsia="宋体" w:cs="宋体"/>
          <w:b/>
          <w:bCs/>
          <w:color w:val="auto"/>
          <w:sz w:val="24"/>
          <w:szCs w:val="24"/>
          <w:highlight w:val="none"/>
        </w:rPr>
        <w:t xml:space="preserve">一、总则</w:t>
      </w:r>
      <w:bookmarkEnd w:id="50"/>
      <w:r/>
      <w:r/>
    </w:p>
    <w:p>
      <w:pPr>
        <w:ind w:firstLine="480"/>
        <w:keepLines/>
        <w:keepNext/>
        <w:spacing w:line="520" w:lineRule="exact"/>
        <w:rPr>
          <w:rFonts w:hint="eastAsia" w:ascii="宋体" w:hAnsi="宋体" w:eastAsia="宋体" w:cs="宋体"/>
          <w:color w:val="auto"/>
          <w:sz w:val="24"/>
          <w:szCs w:val="24"/>
          <w:highlight w:val="none"/>
        </w:rPr>
      </w:pPr>
      <w:r/>
      <w:bookmarkStart w:id="51" w:name="_Toc513029204"/>
      <w:r/>
      <w:bookmarkEnd w:id="51"/>
      <w:r/>
      <w:bookmarkStart w:id="52" w:name="_Toc16938520"/>
      <w:r/>
      <w:bookmarkEnd w:id="52"/>
      <w:r/>
      <w:bookmarkStart w:id="53" w:name="_Hlt16619475"/>
      <w:r/>
      <w:bookmarkEnd w:id="53"/>
      <w:r/>
      <w:bookmarkStart w:id="54" w:name="_Toc458694821"/>
      <w:r/>
      <w:bookmarkEnd w:id="54"/>
      <w:r/>
      <w:bookmarkStart w:id="55" w:name="_Toc20823276"/>
      <w:r>
        <w:rPr>
          <w:rFonts w:hint="eastAsia" w:ascii="宋体" w:hAnsi="宋体" w:eastAsia="宋体" w:cs="宋体"/>
          <w:color w:val="auto"/>
          <w:sz w:val="24"/>
          <w:szCs w:val="24"/>
          <w:highlight w:val="none"/>
        </w:rPr>
        <w:t xml:space="preserve">1</w:t>
      </w:r>
      <w:bookmarkEnd w:id="55"/>
      <w:r>
        <w:rPr>
          <w:rFonts w:hint="eastAsia" w:ascii="宋体" w:hAnsi="宋体" w:eastAsia="宋体" w:cs="宋体"/>
          <w:color w:val="auto"/>
          <w:sz w:val="24"/>
          <w:szCs w:val="24"/>
          <w:highlight w:val="none"/>
        </w:rPr>
        <w:t xml:space="preserve">、采购方式</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本次政府采购活动采取竞争性磋商（以下简称磋商）方式，本磋商文件仅适用于磋商公告中所述项目。</w:t>
      </w:r>
      <w:r/>
    </w:p>
    <w:p>
      <w:pPr>
        <w:ind w:firstLine="480"/>
        <w:keepLines/>
        <w:keepNext/>
        <w:spacing w:line="520" w:lineRule="exact"/>
        <w:rPr>
          <w:rFonts w:hint="eastAsia" w:ascii="宋体" w:hAnsi="宋体" w:eastAsia="宋体" w:cs="宋体"/>
          <w:color w:val="auto"/>
          <w:sz w:val="24"/>
          <w:szCs w:val="24"/>
          <w:highlight w:val="none"/>
        </w:rPr>
      </w:pPr>
      <w:r/>
      <w:bookmarkStart w:id="56" w:name="_Toc513029205"/>
      <w:r/>
      <w:bookmarkEnd w:id="56"/>
      <w:r/>
      <w:bookmarkStart w:id="57" w:name="_Toc16938521"/>
      <w:r/>
      <w:bookmarkEnd w:id="57"/>
      <w:r/>
      <w:bookmarkStart w:id="58" w:name="_Toc20823277"/>
      <w:r>
        <w:rPr>
          <w:rFonts w:hint="eastAsia" w:ascii="宋体" w:hAnsi="宋体" w:eastAsia="宋体" w:cs="宋体"/>
          <w:color w:val="auto"/>
          <w:sz w:val="24"/>
          <w:szCs w:val="24"/>
          <w:highlight w:val="none"/>
        </w:rPr>
        <w:t xml:space="preserve">2、合格的</w:t>
      </w:r>
      <w:bookmarkEnd w:id="58"/>
      <w:r>
        <w:rPr>
          <w:rFonts w:hint="eastAsia" w:ascii="宋体" w:hAnsi="宋体" w:eastAsia="宋体" w:cs="宋体"/>
          <w:color w:val="auto"/>
          <w:sz w:val="24"/>
          <w:szCs w:val="24"/>
          <w:highlight w:val="none"/>
        </w:rPr>
        <w:t xml:space="preserve">供应商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2.1满足磋商公告中供应商资格要求的规定。</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满足本磋商文件</w:t>
      </w:r>
      <w:r>
        <w:rPr>
          <w:rFonts w:hint="eastAsia" w:ascii="宋体" w:hAnsi="宋体" w:eastAsia="宋体" w:cs="宋体"/>
          <w:color w:val="auto"/>
          <w:sz w:val="24"/>
          <w:szCs w:val="24"/>
          <w:highlight w:val="none"/>
          <w:lang w:val="en-US" w:eastAsia="zh-CN"/>
        </w:rPr>
        <w:t xml:space="preserve">对</w:t>
      </w:r>
      <w:r>
        <w:rPr>
          <w:rFonts w:hint="eastAsia" w:ascii="宋体" w:hAnsi="宋体" w:eastAsia="宋体" w:cs="宋体"/>
          <w:color w:val="auto"/>
          <w:sz w:val="24"/>
          <w:szCs w:val="24"/>
          <w:highlight w:val="none"/>
        </w:rPr>
        <w:t xml:space="preserve">实质性要求和条件的规定。</w:t>
      </w:r>
      <w:r/>
    </w:p>
    <w:p>
      <w:pPr>
        <w:ind w:firstLine="480"/>
        <w:keepLines/>
        <w:keepNext/>
        <w:spacing w:line="520" w:lineRule="exact"/>
        <w:rPr>
          <w:rFonts w:hint="eastAsia" w:ascii="宋体" w:hAnsi="宋体" w:eastAsia="宋体" w:cs="宋体"/>
          <w:color w:val="auto"/>
          <w:sz w:val="24"/>
          <w:szCs w:val="24"/>
          <w:highlight w:val="none"/>
        </w:rPr>
      </w:pPr>
      <w:r/>
      <w:bookmarkStart w:id="59" w:name="_Toc16938522"/>
      <w:r/>
      <w:bookmarkEnd w:id="59"/>
      <w:r/>
      <w:bookmarkStart w:id="60" w:name="_Toc513029206"/>
      <w:r/>
      <w:bookmarkEnd w:id="60"/>
      <w:r/>
      <w:bookmarkStart w:id="61" w:name="_Toc20823278"/>
      <w:r>
        <w:rPr>
          <w:rFonts w:hint="eastAsia" w:ascii="宋体" w:hAnsi="宋体" w:eastAsia="宋体" w:cs="宋体"/>
          <w:color w:val="auto"/>
          <w:sz w:val="24"/>
          <w:szCs w:val="24"/>
          <w:highlight w:val="none"/>
        </w:rPr>
        <w:t xml:space="preserve">3、适用法律</w:t>
      </w:r>
      <w:bookmarkEnd w:id="61"/>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本次磋商及由此产生的合同受中华人民共和国有关的法律法规制约和保护。</w:t>
      </w:r>
      <w:r/>
    </w:p>
    <w:p>
      <w:pPr>
        <w:ind w:firstLine="480"/>
        <w:keepLines/>
        <w:keepNext/>
        <w:spacing w:line="520" w:lineRule="exact"/>
        <w:rPr>
          <w:rFonts w:hint="eastAsia" w:ascii="宋体" w:hAnsi="宋体" w:eastAsia="宋体" w:cs="宋体"/>
          <w:color w:val="auto"/>
          <w:sz w:val="24"/>
          <w:szCs w:val="24"/>
          <w:highlight w:val="none"/>
        </w:rPr>
      </w:pPr>
      <w:r/>
      <w:bookmarkStart w:id="62" w:name="_Toc462564067"/>
      <w:r/>
      <w:bookmarkEnd w:id="62"/>
      <w:r/>
      <w:bookmarkStart w:id="63" w:name="_Toc513029207"/>
      <w:r/>
      <w:bookmarkEnd w:id="63"/>
      <w:r/>
      <w:bookmarkStart w:id="64" w:name="_Toc16938523"/>
      <w:r/>
      <w:bookmarkEnd w:id="64"/>
      <w:r/>
      <w:bookmarkStart w:id="65" w:name="_Toc20823279"/>
      <w:r>
        <w:rPr>
          <w:rFonts w:hint="eastAsia" w:ascii="宋体" w:hAnsi="宋体" w:eastAsia="宋体" w:cs="宋体"/>
          <w:color w:val="auto"/>
          <w:sz w:val="24"/>
          <w:szCs w:val="24"/>
          <w:highlight w:val="none"/>
        </w:rPr>
        <w:t xml:space="preserve">4、磋商费用</w:t>
      </w:r>
      <w:bookmarkEnd w:id="65"/>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4.1</w:t>
      </w:r>
      <w:r>
        <w:rPr>
          <w:rFonts w:hint="eastAsia" w:ascii="宋体" w:hAnsi="宋体" w:eastAsia="宋体" w:cs="宋体"/>
          <w:color w:val="auto"/>
          <w:sz w:val="24"/>
          <w:szCs w:val="24"/>
          <w:highlight w:val="none"/>
        </w:rPr>
        <w:t xml:space="preserve">供应商应自行承担所有与参加本次磋商有关的费用，无论磋商过程中的做法和结果如何，采购人及采购代理机构在任何情况下均无义务和责任承担这些费用。</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w:t>
      </w:r>
      <w:r>
        <w:rPr>
          <w:rFonts w:hint="eastAsia" w:ascii="宋体" w:hAnsi="宋体" w:eastAsia="宋体" w:cs="宋体"/>
          <w:b/>
          <w:bCs/>
          <w:color w:val="auto"/>
          <w:sz w:val="24"/>
          <w:szCs w:val="24"/>
          <w:highlight w:val="none"/>
        </w:rPr>
        <w:t xml:space="preserve">本项目招标代理服务费</w:t>
      </w:r>
      <w:r>
        <w:rPr>
          <w:rFonts w:hint="eastAsia" w:ascii="宋体" w:hAnsi="宋体" w:cs="宋体"/>
          <w:b/>
          <w:bCs/>
          <w:color w:val="auto"/>
          <w:sz w:val="24"/>
          <w:szCs w:val="24"/>
          <w:highlight w:val="none"/>
          <w:lang w:val="en-US" w:eastAsia="zh-CN"/>
        </w:rPr>
        <w:t xml:space="preserve">共计玖仟陆佰元整（9600元）</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上述费用由成交供应商支付，请各供应商在报价时考虑，确定成交供应商后领取成交通知书前一次性缴纳给招标代理服务机构。</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5、磋商文件的约束力</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5.1供应商一旦参加本项目采购活动，即被认为接受了本磋商文件的规定和约束。</w:t>
      </w:r>
      <w:r/>
    </w:p>
    <w:p>
      <w:pPr>
        <w:ind w:firstLine="482"/>
        <w:keepLines/>
        <w:keepNext/>
        <w:spacing w:line="520" w:lineRule="exact"/>
        <w:rPr>
          <w:rFonts w:hint="eastAsia" w:ascii="宋体" w:hAnsi="宋体" w:eastAsia="宋体" w:cs="宋体"/>
          <w:color w:val="auto"/>
          <w:sz w:val="24"/>
          <w:szCs w:val="24"/>
          <w:highlight w:val="none"/>
        </w:rPr>
      </w:pPr>
      <w:r/>
      <w:bookmarkStart w:id="66" w:name="_Toc20823281"/>
      <w:r/>
      <w:bookmarkEnd w:id="66"/>
      <w:r/>
      <w:bookmarkStart w:id="67" w:name="_Toc513029209"/>
      <w:r/>
      <w:bookmarkEnd w:id="67"/>
      <w:r/>
      <w:bookmarkStart w:id="68" w:name="_Toc16938525"/>
      <w:r/>
      <w:bookmarkEnd w:id="68"/>
      <w:r/>
      <w:bookmarkStart w:id="69" w:name="_Toc120614215"/>
      <w:r>
        <w:rPr>
          <w:rFonts w:hint="eastAsia" w:ascii="宋体" w:hAnsi="宋体" w:eastAsia="宋体" w:cs="宋体"/>
          <w:b/>
          <w:bCs/>
          <w:color w:val="auto"/>
          <w:sz w:val="24"/>
          <w:szCs w:val="24"/>
          <w:highlight w:val="none"/>
        </w:rPr>
        <w:t xml:space="preserve">二、</w:t>
      </w:r>
      <w:bookmarkEnd w:id="69"/>
      <w:r>
        <w:rPr>
          <w:rFonts w:hint="eastAsia" w:ascii="宋体" w:hAnsi="宋体" w:eastAsia="宋体" w:cs="宋体"/>
          <w:b/>
          <w:bCs/>
          <w:color w:val="auto"/>
          <w:sz w:val="24"/>
          <w:szCs w:val="24"/>
          <w:highlight w:val="none"/>
        </w:rPr>
        <w:t xml:space="preserve">磋商文件</w:t>
      </w:r>
      <w:r/>
    </w:p>
    <w:p>
      <w:pPr>
        <w:ind w:firstLine="480"/>
        <w:keepLines/>
        <w:keepNext/>
        <w:spacing w:line="520" w:lineRule="exact"/>
        <w:rPr>
          <w:rFonts w:hint="eastAsia" w:ascii="宋体" w:hAnsi="宋体" w:eastAsia="宋体" w:cs="宋体"/>
          <w:color w:val="auto"/>
          <w:sz w:val="24"/>
          <w:szCs w:val="24"/>
          <w:highlight w:val="none"/>
        </w:rPr>
      </w:pPr>
      <w:r/>
      <w:bookmarkStart w:id="70" w:name="_Toc16938526"/>
      <w:r/>
      <w:bookmarkEnd w:id="70"/>
      <w:r/>
      <w:bookmarkStart w:id="71" w:name="_Toc513029210"/>
      <w:r/>
      <w:bookmarkEnd w:id="71"/>
      <w:r/>
      <w:bookmarkStart w:id="72" w:name="_Toc20823282"/>
      <w:r>
        <w:rPr>
          <w:rFonts w:hint="eastAsia" w:ascii="宋体" w:hAnsi="宋体" w:eastAsia="宋体" w:cs="宋体"/>
          <w:color w:val="auto"/>
          <w:sz w:val="24"/>
          <w:szCs w:val="24"/>
          <w:highlight w:val="none"/>
        </w:rPr>
        <w:t xml:space="preserve">6、磋商文件构成</w:t>
      </w:r>
      <w:bookmarkEnd w:id="72"/>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6.1磋商文件由以下部分组成：</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（1）磋商邀请</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（2）供应商须知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（5）评审方法与评审标准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（6）响应文件格式</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请仔细检查磋商文件是否齐全，如有缺漏请立即与采购代理机构联系解决。</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keepLines/>
        <w:keepNext/>
        <w:spacing w:line="520" w:lineRule="exact"/>
        <w:rPr>
          <w:rFonts w:hint="eastAsia" w:ascii="宋体" w:hAnsi="宋体" w:eastAsia="宋体" w:cs="宋体"/>
          <w:color w:val="auto"/>
          <w:sz w:val="24"/>
          <w:szCs w:val="24"/>
          <w:highlight w:val="none"/>
        </w:rPr>
      </w:pPr>
      <w:r/>
      <w:bookmarkStart w:id="73" w:name="_Toc462564070"/>
      <w:r/>
      <w:bookmarkEnd w:id="73"/>
      <w:r/>
      <w:bookmarkStart w:id="74" w:name="_Toc16938527"/>
      <w:r/>
      <w:bookmarkEnd w:id="74"/>
      <w:r/>
      <w:bookmarkStart w:id="75" w:name="_Toc513029211"/>
      <w:r/>
      <w:bookmarkEnd w:id="75"/>
      <w:r/>
      <w:bookmarkStart w:id="76" w:name="_Toc20823283"/>
      <w:r>
        <w:rPr>
          <w:rFonts w:hint="eastAsia" w:ascii="宋体" w:hAnsi="宋体" w:eastAsia="宋体" w:cs="宋体"/>
          <w:color w:val="auto"/>
          <w:sz w:val="24"/>
          <w:szCs w:val="24"/>
          <w:highlight w:val="none"/>
        </w:rPr>
        <w:t xml:space="preserve">7、磋商文件的澄清</w:t>
      </w:r>
      <w:bookmarkEnd w:id="76"/>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任何要求对磋商文件进行澄清的供应商，应在磋商截止期5日前按磋商公告中的通讯地址，以书面形式通知采购代理机构。</w:t>
      </w:r>
      <w:r/>
    </w:p>
    <w:p>
      <w:pPr>
        <w:ind w:firstLine="480"/>
        <w:keepLines/>
        <w:keepNext/>
        <w:spacing w:line="520" w:lineRule="exact"/>
        <w:rPr>
          <w:rFonts w:hint="eastAsia" w:ascii="宋体" w:hAnsi="宋体" w:eastAsia="宋体" w:cs="宋体"/>
          <w:color w:val="auto"/>
          <w:sz w:val="24"/>
          <w:szCs w:val="24"/>
          <w:highlight w:val="none"/>
        </w:rPr>
      </w:pPr>
      <w:r/>
      <w:bookmarkStart w:id="77" w:name="_Toc513029212"/>
      <w:r/>
      <w:bookmarkEnd w:id="77"/>
      <w:r/>
      <w:bookmarkStart w:id="78" w:name="_Toc462564071"/>
      <w:r/>
      <w:bookmarkEnd w:id="78"/>
      <w:r/>
      <w:bookmarkStart w:id="79" w:name="_Toc16938528"/>
      <w:r/>
      <w:bookmarkEnd w:id="79"/>
      <w:r/>
      <w:bookmarkStart w:id="80" w:name="_Toc20823284"/>
      <w:r>
        <w:rPr>
          <w:rFonts w:hint="eastAsia" w:ascii="宋体" w:hAnsi="宋体" w:eastAsia="宋体" w:cs="宋体"/>
          <w:color w:val="auto"/>
          <w:sz w:val="24"/>
          <w:szCs w:val="24"/>
          <w:highlight w:val="none"/>
        </w:rPr>
        <w:t xml:space="preserve">8、磋商文件的澄清和修改</w:t>
      </w:r>
      <w:bookmarkEnd w:id="80"/>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在响应文件提交截止时间前，采购代理机构可以对磋商文件进行澄清和修改，澄清或者修改的内容作为磋商文件的组成部分。澄清或者修改的内容可能影响响应文件编制的，采购代理机构将在提交首次响应文件截止时间至少5日前，在“江苏政府采购网”上发布书面更正公告形式通知所有获取磋商文件的供应商，更正公告内容将作为磋商文件的组成部分，并对供应商具有约束力。不足5日的，采购代理机构将顺延提交首次响应文件截止时间。</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8.2采购代理机构可以视采购项目的具体情况，组织供应商进行现场考察或召开磋商前答疑会，但不单独或分别组织只有一个供应商参加的现场考察和答疑会。</w:t>
      </w:r>
      <w:r/>
    </w:p>
    <w:p>
      <w:pPr>
        <w:ind w:firstLine="482"/>
        <w:keepLines/>
        <w:keepNext/>
        <w:spacing w:line="520" w:lineRule="exact"/>
        <w:rPr>
          <w:rFonts w:hint="eastAsia" w:ascii="宋体" w:hAnsi="宋体" w:eastAsia="宋体" w:cs="宋体"/>
          <w:color w:val="auto"/>
          <w:sz w:val="24"/>
          <w:szCs w:val="24"/>
          <w:highlight w:val="none"/>
        </w:rPr>
      </w:pPr>
      <w:r/>
      <w:bookmarkStart w:id="81" w:name="_Toc513029213"/>
      <w:r/>
      <w:bookmarkEnd w:id="81"/>
      <w:r/>
      <w:bookmarkStart w:id="82" w:name="_Toc16938529"/>
      <w:r/>
      <w:bookmarkEnd w:id="82"/>
      <w:r/>
      <w:bookmarkStart w:id="83" w:name="_Toc20823285"/>
      <w:r/>
      <w:bookmarkEnd w:id="83"/>
      <w:r/>
      <w:bookmarkStart w:id="84" w:name="_Toc462564072"/>
      <w:r/>
      <w:bookmarkEnd w:id="84"/>
      <w:r/>
      <w:bookmarkStart w:id="85" w:name="_Toc120614216"/>
      <w:r>
        <w:rPr>
          <w:rFonts w:hint="eastAsia" w:ascii="宋体" w:hAnsi="宋体" w:eastAsia="宋体" w:cs="宋体"/>
          <w:b/>
          <w:bCs/>
          <w:color w:val="auto"/>
          <w:sz w:val="24"/>
          <w:szCs w:val="24"/>
          <w:highlight w:val="none"/>
        </w:rPr>
        <w:t xml:space="preserve">三、响应文件的编制</w:t>
      </w:r>
      <w:bookmarkEnd w:id="85"/>
      <w:r/>
      <w:r/>
    </w:p>
    <w:p>
      <w:pPr>
        <w:ind w:firstLine="480"/>
        <w:keepLines/>
        <w:keepNext/>
        <w:spacing w:line="520" w:lineRule="exact"/>
        <w:rPr>
          <w:rFonts w:hint="eastAsia" w:ascii="宋体" w:hAnsi="宋体" w:eastAsia="宋体" w:cs="宋体"/>
          <w:color w:val="auto"/>
          <w:sz w:val="24"/>
          <w:szCs w:val="24"/>
          <w:highlight w:val="none"/>
        </w:rPr>
      </w:pPr>
      <w:r/>
      <w:bookmarkStart w:id="86" w:name="_Toc513029214"/>
      <w:r/>
      <w:bookmarkEnd w:id="86"/>
      <w:r/>
      <w:bookmarkStart w:id="87" w:name="_Toc16938530"/>
      <w:r/>
      <w:bookmarkEnd w:id="87"/>
      <w:r/>
      <w:bookmarkStart w:id="88" w:name="_Toc462564073"/>
      <w:r/>
      <w:bookmarkEnd w:id="88"/>
      <w:r/>
      <w:bookmarkStart w:id="89" w:name="_Toc20823286"/>
      <w:r>
        <w:rPr>
          <w:rFonts w:hint="eastAsia" w:ascii="宋体" w:hAnsi="宋体" w:eastAsia="宋体" w:cs="宋体"/>
          <w:color w:val="auto"/>
          <w:sz w:val="24"/>
          <w:szCs w:val="24"/>
          <w:highlight w:val="none"/>
        </w:rPr>
        <w:t xml:space="preserve">9、响应文件的语言及度量衡单位</w:t>
      </w:r>
      <w:bookmarkEnd w:id="89"/>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9.1供应商提交的响应文件以及供应商与采购代理机构就有关磋商的所有来往通知、函件和文件均应使用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除技术性能另有规定外</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响应文件所使用的度量衡单位，均须采用国家法定计量单位。</w:t>
      </w:r>
      <w:bookmarkStart w:id="90" w:name="_Toc16938531"/>
      <w:r/>
      <w:bookmarkEnd w:id="90"/>
      <w:r/>
      <w:bookmarkStart w:id="91" w:name="_Toc462564074"/>
      <w:r/>
      <w:bookmarkEnd w:id="91"/>
      <w:r/>
      <w:bookmarkStart w:id="92" w:name="_Toc513029215"/>
      <w:r/>
      <w:bookmarkEnd w:id="92"/>
      <w:r/>
      <w:bookmarkStart w:id="93" w:name="_Toc20823287"/>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10、响应文件构成</w:t>
      </w:r>
      <w:bookmarkEnd w:id="93"/>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w:t>
      </w:r>
      <w:r>
        <w:rPr>
          <w:rFonts w:hint="eastAsia" w:ascii="宋体" w:hAnsi="宋体" w:eastAsia="宋体" w:cs="宋体"/>
          <w:bCs/>
          <w:color w:val="auto"/>
          <w:sz w:val="24"/>
          <w:szCs w:val="24"/>
          <w:highlight w:val="none"/>
        </w:rPr>
        <w:t xml:space="preserve">响应文件的组成</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b/>
          <w:bCs/>
          <w:color w:val="auto"/>
          <w:sz w:val="24"/>
          <w:szCs w:val="24"/>
          <w:highlight w:val="none"/>
        </w:rPr>
        <w:t xml:space="preserve">具有独立承担民事责任的能力</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法人或者其他组织的营业执照等证明文件或自然人的身份证明；</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b/>
          <w:bCs/>
          <w:color w:val="auto"/>
          <w:sz w:val="24"/>
          <w:szCs w:val="24"/>
          <w:highlight w:val="none"/>
        </w:rPr>
        <w:t xml:space="preserve">具有良好的商业信誉和健全的财务会计制度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提供</w:t>
      </w:r>
      <w:r>
        <w:rPr>
          <w:rFonts w:hint="eastAsia" w:ascii="宋体" w:hAnsi="宋体" w:eastAsia="宋体" w:cs="宋体"/>
          <w:b w:val="0"/>
          <w:bCs w:val="0"/>
          <w:color w:val="auto"/>
          <w:sz w:val="24"/>
          <w:szCs w:val="24"/>
          <w:highlight w:val="none"/>
        </w:rPr>
        <w:t xml:space="preserve">供应商</w:t>
      </w:r>
      <w:r>
        <w:rPr>
          <w:rFonts w:hint="eastAsia" w:ascii="宋体" w:hAnsi="宋体" w:eastAsia="宋体" w:cs="宋体"/>
          <w:color w:val="auto"/>
          <w:sz w:val="24"/>
          <w:szCs w:val="24"/>
          <w:highlight w:val="none"/>
          <w:lang w:val="en-US" w:eastAsia="zh-CN"/>
        </w:rPr>
        <w:t xml:space="preserve">近六个月</w:t>
      </w:r>
      <w:r>
        <w:rPr>
          <w:rFonts w:hint="eastAsia" w:ascii="宋体" w:hAnsi="宋体" w:eastAsia="宋体" w:cs="宋体"/>
          <w:color w:val="auto"/>
          <w:sz w:val="24"/>
          <w:szCs w:val="24"/>
          <w:highlight w:val="none"/>
        </w:rPr>
        <w:t xml:space="preserve">中任意一个月份（不含磋商响应文件递交当月）的财务状况报告（资产负债表和利润表）或由会计师事务所出具的近两年中任意一个年度的审计报告复印件；其他组织、自然人及成立未满一年的法人应提供银行出具的资信证明；</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b/>
          <w:bCs/>
          <w:color w:val="auto"/>
          <w:sz w:val="24"/>
          <w:szCs w:val="24"/>
          <w:highlight w:val="none"/>
        </w:rPr>
        <w:t xml:space="preserve">有依法缴纳税收和社会保障资金的良好记录</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提供</w:t>
      </w:r>
      <w:r>
        <w:rPr>
          <w:rFonts w:hint="eastAsia" w:ascii="宋体" w:hAnsi="宋体" w:eastAsia="宋体" w:cs="宋体"/>
          <w:color w:val="auto"/>
          <w:sz w:val="24"/>
          <w:szCs w:val="24"/>
          <w:highlight w:val="none"/>
          <w:lang w:val="en-US" w:eastAsia="zh-CN"/>
        </w:rPr>
        <w:t xml:space="preserve">供应商近六个月</w:t>
      </w:r>
      <w:r>
        <w:rPr>
          <w:rFonts w:hint="eastAsia" w:ascii="宋体" w:hAnsi="宋体" w:eastAsia="宋体" w:cs="宋体"/>
          <w:color w:val="auto"/>
          <w:sz w:val="24"/>
          <w:szCs w:val="24"/>
          <w:highlight w:val="none"/>
        </w:rPr>
        <w:t xml:space="preserve">中任意一个月份（不含磋商响应文件递交当月）依法缴纳税收及缴纳社会保障资金的证明材料。磋商供应商依法享受缓缴、免缴税收、社会保障资金的提供证明材料；</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（4）具备履行合同所必需的设备和专业技术能力的书面声明（格式自拟）；</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（5）参加政府采购活动前3年内在经营活动中没有重大违法记录的书面声明；</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（6）特定资格要求的证明文件（如果</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设置特定资格要求，则需要提供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（7）法人授权书；</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（8）磋商响应函、磋商报价表；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（9）中小企业声明函</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监狱企业、残疾人福利性单位的证明资料</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如有</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商务及</w:t>
      </w:r>
      <w:r>
        <w:rPr>
          <w:rFonts w:hint="eastAsia" w:ascii="宋体" w:hAnsi="宋体" w:eastAsia="宋体" w:cs="宋体"/>
          <w:color w:val="auto"/>
          <w:sz w:val="24"/>
          <w:szCs w:val="24"/>
          <w:highlight w:val="none"/>
        </w:rPr>
        <w:t xml:space="preserve">技术要求响应及偏离表；</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承诺书</w:t>
      </w:r>
      <w:r>
        <w:rPr>
          <w:rFonts w:hint="eastAsia" w:ascii="宋体" w:hAnsi="宋体" w:eastAsia="宋体" w:cs="宋体"/>
          <w:color w:val="auto"/>
          <w:sz w:val="24"/>
          <w:szCs w:val="24"/>
          <w:highlight w:val="none"/>
          <w:lang w:eastAsia="zh-CN"/>
        </w:rPr>
        <w:t xml:space="preserve">；</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按照评分办法应当递交的其他资料</w:t>
      </w:r>
      <w:r>
        <w:rPr>
          <w:rFonts w:hint="eastAsia" w:ascii="宋体" w:hAnsi="宋体" w:eastAsia="宋体" w:cs="宋体"/>
          <w:color w:val="auto"/>
          <w:sz w:val="24"/>
          <w:szCs w:val="24"/>
          <w:highlight w:val="none"/>
          <w:lang w:eastAsia="zh-CN"/>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如标书制作工具中</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格式和内容与“江苏政府采购网”发布的磋商文件不一致，请以“江苏政府采购网”发布的磋商文件为准。</w:t>
      </w:r>
      <w:r/>
    </w:p>
    <w:p>
      <w:pPr>
        <w:ind w:firstLine="480"/>
        <w:keepLines/>
        <w:keepNext/>
        <w:spacing w:line="520" w:lineRule="exact"/>
        <w:rPr>
          <w:rFonts w:hint="eastAsia" w:ascii="宋体" w:hAnsi="宋体" w:eastAsia="宋体" w:cs="宋体"/>
          <w:color w:val="auto"/>
          <w:sz w:val="24"/>
          <w:szCs w:val="24"/>
          <w:highlight w:val="none"/>
        </w:rPr>
      </w:pPr>
      <w:r/>
      <w:bookmarkStart w:id="94" w:name="_Toc49090509"/>
      <w:r/>
      <w:bookmarkEnd w:id="94"/>
      <w:r/>
      <w:bookmarkStart w:id="95" w:name="_Hlt26954838"/>
      <w:r/>
      <w:bookmarkEnd w:id="95"/>
      <w:r/>
      <w:bookmarkStart w:id="96" w:name="_Toc513029216"/>
      <w:r/>
      <w:bookmarkEnd w:id="96"/>
      <w:r/>
      <w:bookmarkStart w:id="97" w:name="_Toc49090508"/>
      <w:r/>
      <w:bookmarkEnd w:id="97"/>
      <w:r/>
      <w:bookmarkStart w:id="98" w:name="_Hlt26670360"/>
      <w:r/>
      <w:bookmarkEnd w:id="98"/>
      <w:r/>
      <w:bookmarkStart w:id="99" w:name="_Toc14577355"/>
      <w:r/>
      <w:bookmarkEnd w:id="99"/>
      <w:r/>
      <w:bookmarkStart w:id="100" w:name="_Toc14577354"/>
      <w:r/>
      <w:bookmarkEnd w:id="100"/>
      <w:r/>
      <w:bookmarkStart w:id="101" w:name="_Hlt26668975"/>
      <w:r/>
      <w:bookmarkEnd w:id="101"/>
      <w:r/>
      <w:bookmarkStart w:id="102" w:name="_Toc513029219"/>
      <w:r/>
      <w:bookmarkEnd w:id="102"/>
      <w:r/>
      <w:bookmarkStart w:id="103" w:name="_Toc14577357"/>
      <w:r/>
      <w:bookmarkEnd w:id="103"/>
      <w:r/>
      <w:bookmarkStart w:id="104" w:name="_Toc49090507"/>
      <w:r>
        <w:rPr>
          <w:rFonts w:hint="eastAsia" w:ascii="宋体" w:hAnsi="宋体" w:eastAsia="宋体" w:cs="宋体"/>
          <w:color w:val="auto"/>
          <w:sz w:val="24"/>
          <w:szCs w:val="24"/>
          <w:highlight w:val="none"/>
        </w:rPr>
        <w:t xml:space="preserve">11、证明磋商响应标的</w:t>
      </w:r>
      <w:r>
        <w:rPr>
          <w:rFonts w:hint="eastAsia" w:ascii="宋体" w:hAnsi="宋体" w:eastAsia="宋体" w:cs="宋体"/>
          <w:color w:val="auto"/>
          <w:sz w:val="24"/>
          <w:szCs w:val="24"/>
          <w:highlight w:val="none"/>
          <w:lang w:val="en-US" w:eastAsia="zh-CN"/>
        </w:rPr>
        <w:t xml:space="preserve">是</w:t>
      </w:r>
      <w:r>
        <w:rPr>
          <w:rFonts w:hint="eastAsia" w:ascii="宋体" w:hAnsi="宋体" w:eastAsia="宋体" w:cs="宋体"/>
          <w:color w:val="auto"/>
          <w:sz w:val="24"/>
          <w:szCs w:val="24"/>
          <w:highlight w:val="none"/>
        </w:rPr>
        <w:t xml:space="preserve">符合磋商文件规定的文件</w:t>
      </w:r>
      <w:bookmarkEnd w:id="104"/>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11.1供应商应按照磋商文件要求提交证明文件，证明其及磋商响应标的符合磋商文件规定。</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11.2磋商文件对证明文件无明确形式要求的，证明文件可以以文字资料、图纸和数据等形式提交。</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12、报价明细表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12.1供应商应按照磋商文件规定格式填</w:t>
      </w:r>
      <w:r>
        <w:rPr>
          <w:rFonts w:hint="eastAsia" w:ascii="宋体" w:hAnsi="宋体" w:eastAsia="宋体" w:cs="宋体"/>
          <w:color w:val="auto"/>
          <w:sz w:val="24"/>
          <w:szCs w:val="24"/>
          <w:highlight w:val="none"/>
          <w:lang w:val="en-US" w:eastAsia="zh-CN"/>
        </w:rPr>
        <w:t xml:space="preserve">写</w:t>
      </w:r>
      <w:r>
        <w:rPr>
          <w:rFonts w:hint="eastAsia" w:ascii="宋体" w:hAnsi="宋体" w:eastAsia="宋体" w:cs="宋体"/>
          <w:color w:val="auto"/>
          <w:sz w:val="24"/>
          <w:szCs w:val="24"/>
          <w:highlight w:val="none"/>
        </w:rPr>
        <w:t xml:space="preserve">报价明细表。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12.2磋商货币。响应文件中的单价和总价无特殊规定的采用人民币报价，以元为单位标注。磋商文件中另有规定的按规定执行。</w:t>
      </w:r>
      <w:r/>
    </w:p>
    <w:p>
      <w:pPr>
        <w:ind w:firstLine="480"/>
        <w:keepLines/>
        <w:keepNext/>
        <w:spacing w:line="520" w:lineRule="exact"/>
        <w:rPr>
          <w:rFonts w:hint="eastAsia" w:ascii="宋体" w:hAnsi="宋体" w:eastAsia="宋体" w:cs="宋体"/>
          <w:color w:val="auto"/>
          <w:sz w:val="24"/>
          <w:szCs w:val="24"/>
          <w:highlight w:val="none"/>
        </w:rPr>
      </w:pPr>
      <w:r/>
      <w:bookmarkStart w:id="105" w:name="_Hlt26670482"/>
      <w:r/>
      <w:bookmarkEnd w:id="105"/>
      <w:r/>
      <w:bookmarkStart w:id="106" w:name="_Hlt26670486"/>
      <w:r/>
      <w:bookmarkEnd w:id="106"/>
      <w:r/>
      <w:bookmarkStart w:id="107" w:name="_Hlt26954731"/>
      <w:r/>
      <w:bookmarkEnd w:id="107"/>
      <w:r/>
      <w:bookmarkStart w:id="108" w:name="_Hlt26954846"/>
      <w:r/>
      <w:bookmarkEnd w:id="108"/>
      <w:r/>
      <w:bookmarkStart w:id="109" w:name="_Hlt26954848"/>
      <w:r>
        <w:rPr>
          <w:rFonts w:hint="eastAsia" w:ascii="宋体" w:hAnsi="宋体" w:eastAsia="宋体" w:cs="宋体"/>
          <w:color w:val="auto"/>
          <w:sz w:val="24"/>
          <w:szCs w:val="24"/>
          <w:highlight w:val="none"/>
        </w:rPr>
        <w:t xml:space="preserve">13、技术要求响应及偏离表、商务要求响应及偏离表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13.1供应商需对磋商文件中的技术要求与商务要求逐项作出响应或偏离，并说明原因。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13.2供应商可在响应文件中提供认为需要的其他技术文件或说明。</w:t>
      </w:r>
      <w:bookmarkEnd w:id="109"/>
      <w:r/>
      <w:r/>
    </w:p>
    <w:p>
      <w:pPr>
        <w:ind w:firstLine="480"/>
        <w:keepLines/>
        <w:keepNext/>
        <w:spacing w:line="520" w:lineRule="exact"/>
        <w:rPr>
          <w:rFonts w:hint="eastAsia" w:ascii="宋体" w:hAnsi="宋体" w:eastAsia="宋体" w:cs="宋体"/>
          <w:color w:val="auto"/>
          <w:sz w:val="24"/>
          <w:szCs w:val="24"/>
          <w:highlight w:val="none"/>
        </w:rPr>
      </w:pPr>
      <w:r/>
      <w:bookmarkStart w:id="110" w:name="_Toc14577359"/>
      <w:r/>
      <w:bookmarkEnd w:id="110"/>
      <w:r/>
      <w:bookmarkStart w:id="111" w:name="_Toc49090510"/>
      <w:r>
        <w:rPr>
          <w:rFonts w:hint="eastAsia" w:ascii="宋体" w:hAnsi="宋体" w:eastAsia="宋体" w:cs="宋体"/>
          <w:color w:val="auto"/>
          <w:sz w:val="24"/>
          <w:szCs w:val="24"/>
          <w:highlight w:val="none"/>
        </w:rPr>
        <w:t xml:space="preserve">14、磋商响应函</w:t>
      </w:r>
      <w:bookmarkEnd w:id="111"/>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14.1供应商应按照磋商文件中提供的格式完整、正确</w:t>
      </w:r>
      <w:r>
        <w:rPr>
          <w:rFonts w:hint="eastAsia" w:ascii="宋体" w:hAnsi="宋体" w:eastAsia="宋体" w:cs="宋体"/>
          <w:color w:val="auto"/>
          <w:sz w:val="24"/>
          <w:szCs w:val="24"/>
          <w:highlight w:val="none"/>
          <w:lang w:val="en-US" w:eastAsia="zh-CN"/>
        </w:rPr>
        <w:t xml:space="preserve">地</w:t>
      </w:r>
      <w:r>
        <w:rPr>
          <w:rFonts w:hint="eastAsia" w:ascii="宋体" w:hAnsi="宋体" w:eastAsia="宋体" w:cs="宋体"/>
          <w:color w:val="auto"/>
          <w:sz w:val="24"/>
          <w:szCs w:val="24"/>
          <w:highlight w:val="none"/>
        </w:rPr>
        <w:t xml:space="preserve">填写磋商响应函。</w:t>
      </w:r>
      <w:r/>
    </w:p>
    <w:p>
      <w:pPr>
        <w:ind w:firstLine="480"/>
        <w:keepLines/>
        <w:keepNext/>
        <w:spacing w:line="520" w:lineRule="exact"/>
        <w:rPr>
          <w:rFonts w:hint="eastAsia" w:ascii="宋体" w:hAnsi="宋体" w:eastAsia="宋体" w:cs="宋体"/>
          <w:color w:val="auto"/>
          <w:sz w:val="24"/>
          <w:szCs w:val="24"/>
          <w:highlight w:val="none"/>
        </w:rPr>
      </w:pPr>
      <w:r/>
      <w:bookmarkStart w:id="112" w:name="_Toc14577360"/>
      <w:r/>
      <w:bookmarkEnd w:id="112"/>
      <w:r/>
      <w:bookmarkStart w:id="113" w:name="_Toc49090511"/>
      <w:r>
        <w:rPr>
          <w:rFonts w:hint="eastAsia" w:ascii="宋体" w:hAnsi="宋体" w:eastAsia="宋体" w:cs="宋体"/>
          <w:color w:val="auto"/>
          <w:sz w:val="24"/>
          <w:szCs w:val="24"/>
          <w:highlight w:val="none"/>
        </w:rPr>
        <w:t xml:space="preserve">15、磋商有效期</w:t>
      </w:r>
      <w:bookmarkEnd w:id="113"/>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15.1磋商有效期为提交响应文件截止之日后</w:t>
      </w:r>
      <w:r>
        <w:rPr>
          <w:rFonts w:hint="eastAsia" w:ascii="宋体" w:hAnsi="宋体" w:eastAsia="宋体" w:cs="宋体"/>
          <w:b/>
          <w:bCs/>
          <w:color w:val="auto"/>
          <w:sz w:val="24"/>
          <w:szCs w:val="24"/>
          <w:highlight w:val="none"/>
          <w:u w:val="single"/>
        </w:rPr>
        <w:t xml:space="preserve">六十（60）天</w:t>
      </w:r>
      <w:r>
        <w:rPr>
          <w:rFonts w:hint="eastAsia" w:ascii="宋体" w:hAnsi="宋体" w:eastAsia="宋体" w:cs="宋体"/>
          <w:color w:val="auto"/>
          <w:sz w:val="24"/>
          <w:szCs w:val="24"/>
          <w:highlight w:val="none"/>
        </w:rPr>
        <w:t xml:space="preserve">。磋商有效期比规定短的将被视为非实质性响应磋商文件而予以拒绝。</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16、磋商有效期的延长</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bookmarkStart w:id="114" w:name="_Toc513029224"/>
      <w:r/>
      <w:bookmarkEnd w:id="114"/>
      <w:r/>
      <w:bookmarkStart w:id="115" w:name="_Hlt26954739"/>
      <w:r/>
      <w:bookmarkEnd w:id="115"/>
      <w:r/>
      <w:bookmarkStart w:id="116" w:name="_Toc20823296"/>
      <w:r/>
      <w:bookmarkEnd w:id="116"/>
      <w:r/>
      <w:bookmarkStart w:id="117" w:name="_Toc16938540"/>
      <w:r/>
      <w:bookmarkEnd w:id="117"/>
      <w:r/>
      <w:bookmarkStart w:id="118" w:name="_Hlt26954852"/>
      <w:r/>
      <w:bookmarkEnd w:id="118"/>
      <w:r/>
      <w:bookmarkStart w:id="119" w:name="_Toc120614217"/>
      <w:r/>
      <w:r/>
    </w:p>
    <w:p>
      <w:pPr>
        <w:ind w:firstLine="482"/>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四、响应文件的递交</w:t>
      </w:r>
      <w:bookmarkEnd w:id="119"/>
      <w:r/>
      <w:bookmarkStart w:id="120" w:name="_Toc513029225"/>
      <w:r/>
      <w:bookmarkEnd w:id="120"/>
      <w:r/>
      <w:bookmarkStart w:id="121" w:name="_Toc462564084"/>
      <w:r/>
      <w:bookmarkEnd w:id="121"/>
      <w:r/>
      <w:bookmarkStart w:id="122" w:name="_Toc16938541"/>
      <w:r/>
      <w:bookmarkEnd w:id="122"/>
      <w:r/>
      <w:bookmarkStart w:id="123" w:name="_Toc20823297"/>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、电子磋商</w:t>
      </w:r>
      <w:bookmarkEnd w:id="123"/>
      <w:r>
        <w:rPr>
          <w:rFonts w:hint="eastAsia" w:ascii="宋体" w:hAnsi="宋体" w:eastAsia="宋体" w:cs="宋体"/>
          <w:color w:val="auto"/>
          <w:sz w:val="24"/>
          <w:szCs w:val="24"/>
          <w:highlight w:val="none"/>
        </w:rPr>
        <w:t xml:space="preserve">响应文件的递交</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.1供应商应当按照《操作手册》规定，在提交响应文件截止时间前制作并上传电子响应文件。</w:t>
      </w:r>
      <w:bookmarkStart w:id="124" w:name="_Toc513029226"/>
      <w:r/>
      <w:bookmarkEnd w:id="124"/>
      <w:r/>
      <w:bookmarkStart w:id="125" w:name="_Toc20823298"/>
      <w:r/>
      <w:bookmarkEnd w:id="125"/>
      <w:r/>
      <w:bookmarkStart w:id="126" w:name="_Toc16938542"/>
      <w:r/>
      <w:bookmarkEnd w:id="126"/>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、提交响应文件截止时间</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供应商上传电子响应文件的时间不得迟于磋商公告中规定的提交响应文件截止时间。</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供应商应充分考虑网络环境、网络带宽等风险因素，如因供应商自身原因造成的电子响应文件上传不成功的按照本磋商文件第二章第26.3.2条规定做无效响应处理。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 采购代理机构可以按照规定，通过修改磋商文件酌情延长提交响应文件</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截止日期，在此情况下，供应商的所有权利和义务以及供应商受</w:t>
      </w:r>
      <w:r>
        <w:rPr>
          <w:rFonts w:hint="eastAsia" w:ascii="宋体" w:hAnsi="宋体" w:eastAsia="宋体" w:cs="宋体"/>
          <w:color w:val="auto"/>
          <w:sz w:val="24"/>
          <w:szCs w:val="24"/>
          <w:highlight w:val="none"/>
          <w:lang w:val="en-US" w:eastAsia="zh-CN"/>
        </w:rPr>
        <w:t xml:space="preserve">限</w:t>
      </w:r>
      <w:r>
        <w:rPr>
          <w:rFonts w:hint="eastAsia" w:ascii="宋体" w:hAnsi="宋体" w:eastAsia="宋体" w:cs="宋体"/>
          <w:color w:val="auto"/>
          <w:sz w:val="24"/>
          <w:szCs w:val="24"/>
          <w:highlight w:val="none"/>
        </w:rPr>
        <w:t xml:space="preserve">制的截止日期均应以延长后新的截止日期为准。</w:t>
      </w:r>
      <w:r/>
    </w:p>
    <w:p>
      <w:pPr>
        <w:ind w:firstLine="480"/>
        <w:keepLines/>
        <w:keepNext/>
        <w:spacing w:line="520" w:lineRule="exact"/>
        <w:rPr>
          <w:rFonts w:hint="eastAsia" w:ascii="宋体" w:hAnsi="宋体" w:eastAsia="宋体" w:cs="宋体"/>
          <w:color w:val="auto"/>
          <w:sz w:val="24"/>
          <w:szCs w:val="24"/>
          <w:highlight w:val="none"/>
        </w:rPr>
      </w:pPr>
      <w:r/>
      <w:bookmarkStart w:id="127" w:name="_Toc513029227"/>
      <w:r/>
      <w:bookmarkEnd w:id="127"/>
      <w:r/>
      <w:bookmarkStart w:id="128" w:name="_Toc16938543"/>
      <w:r/>
      <w:bookmarkEnd w:id="128"/>
      <w:r/>
      <w:bookmarkStart w:id="129" w:name="_Toc20823299"/>
      <w:r>
        <w:rPr>
          <w:rFonts w:hint="eastAsia" w:ascii="宋体" w:hAnsi="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、响应文件</w:t>
      </w:r>
      <w:bookmarkEnd w:id="129"/>
      <w:r>
        <w:rPr>
          <w:rFonts w:hint="eastAsia" w:ascii="宋体" w:hAnsi="宋体" w:eastAsia="宋体" w:cs="宋体"/>
          <w:color w:val="auto"/>
          <w:sz w:val="24"/>
          <w:szCs w:val="24"/>
          <w:highlight w:val="none"/>
        </w:rPr>
        <w:t xml:space="preserve">的拒收</w:t>
      </w:r>
      <w:r/>
    </w:p>
    <w:p>
      <w:pPr>
        <w:ind w:firstLine="480"/>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.1 采购代理机构拒绝接收在其规定的提交响应文件截止时间后上传的任何电子响应文件。</w:t>
      </w:r>
      <w:r/>
    </w:p>
    <w:p>
      <w:pPr>
        <w:ind w:firstLine="480"/>
        <w:keepLines/>
        <w:keepNext/>
        <w:spacing w:line="520" w:lineRule="exact"/>
        <w:rPr>
          <w:rFonts w:hint="eastAsia" w:ascii="宋体" w:hAnsi="宋体" w:eastAsia="宋体" w:cs="宋体"/>
          <w:color w:val="auto"/>
          <w:sz w:val="24"/>
          <w:szCs w:val="24"/>
          <w:highlight w:val="none"/>
        </w:rPr>
      </w:pPr>
      <w:r/>
      <w:bookmarkStart w:id="130" w:name="_Toc513029228"/>
      <w:r/>
      <w:bookmarkEnd w:id="130"/>
      <w:r/>
      <w:bookmarkStart w:id="131" w:name="_Toc16938544"/>
      <w:r/>
      <w:bookmarkEnd w:id="131"/>
      <w:r/>
      <w:bookmarkStart w:id="132" w:name="_Toc20823300"/>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、响应文件的撤回和修改</w:t>
      </w:r>
      <w:bookmarkEnd w:id="132"/>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.1响应文件的撤回</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.1.1 电子响应文件的撤回</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供应商可在提交响应文件截止时间前，撤回其电子响应文件，具体操作方法见《操作手册》。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.1.2供应商撤回电子响应文件，则</w:t>
      </w:r>
      <w:r>
        <w:rPr>
          <w:rFonts w:hint="eastAsia" w:ascii="宋体" w:hAnsi="宋体" w:eastAsia="宋体" w:cs="宋体"/>
          <w:color w:val="auto"/>
          <w:sz w:val="24"/>
          <w:szCs w:val="24"/>
          <w:highlight w:val="none"/>
          <w:lang w:val="en-US" w:eastAsia="zh-CN"/>
        </w:rPr>
        <w:t xml:space="preserve">视为</w:t>
      </w:r>
      <w:r>
        <w:rPr>
          <w:rFonts w:hint="eastAsia" w:ascii="宋体" w:hAnsi="宋体" w:eastAsia="宋体" w:cs="宋体"/>
          <w:color w:val="auto"/>
          <w:sz w:val="24"/>
          <w:szCs w:val="24"/>
          <w:highlight w:val="none"/>
        </w:rPr>
        <w:t xml:space="preserve">其不再参与本项目磋商活动。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.2响应文件的修改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供应商可在提交响应文件截止时间前，对其电子响应文件进行修改，具体操作方法见《操作手册》。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.3 在提交响应文件截止时间之后，供应商不得对其电子响应文件作任何修改。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.4 在提交响应文件截止时间至磋商文件中规定的磋商有效期满之间的这段时间内，供应商不得撤回其响应文件。</w:t>
      </w:r>
      <w:r/>
    </w:p>
    <w:p>
      <w:pPr>
        <w:ind w:firstLine="482"/>
        <w:keepLines/>
        <w:keepNext/>
        <w:spacing w:line="520" w:lineRule="exact"/>
        <w:rPr>
          <w:rFonts w:hint="eastAsia" w:ascii="宋体" w:hAnsi="宋体" w:eastAsia="宋体" w:cs="宋体"/>
          <w:color w:val="auto"/>
          <w:sz w:val="24"/>
          <w:szCs w:val="24"/>
          <w:highlight w:val="none"/>
        </w:rPr>
      </w:pPr>
      <w:r/>
      <w:bookmarkStart w:id="133" w:name="_Toc513029229"/>
      <w:r/>
      <w:bookmarkEnd w:id="133"/>
      <w:r/>
      <w:bookmarkStart w:id="134" w:name="_Toc16938545"/>
      <w:r/>
      <w:bookmarkEnd w:id="134"/>
      <w:r/>
      <w:bookmarkStart w:id="135" w:name="_Toc20823301"/>
      <w:r/>
      <w:bookmarkEnd w:id="135"/>
      <w:r/>
      <w:bookmarkStart w:id="136" w:name="_Toc120614218"/>
      <w:r>
        <w:rPr>
          <w:rFonts w:hint="eastAsia" w:ascii="宋体" w:hAnsi="宋体" w:eastAsia="宋体" w:cs="宋体"/>
          <w:b/>
          <w:bCs/>
          <w:color w:val="auto"/>
          <w:sz w:val="24"/>
          <w:szCs w:val="24"/>
          <w:highlight w:val="none"/>
        </w:rPr>
        <w:t xml:space="preserve">五、响应文件的解密与评审</w:t>
      </w:r>
      <w:bookmarkEnd w:id="136"/>
      <w:r/>
      <w:r/>
    </w:p>
    <w:p>
      <w:pPr>
        <w:ind w:firstLine="480"/>
        <w:keepLines/>
        <w:keepNext/>
        <w:spacing w:line="520" w:lineRule="exact"/>
        <w:rPr>
          <w:rFonts w:hint="eastAsia" w:ascii="宋体" w:hAnsi="宋体" w:eastAsia="宋体" w:cs="宋体"/>
          <w:color w:val="auto"/>
          <w:sz w:val="24"/>
          <w:szCs w:val="24"/>
          <w:highlight w:val="none"/>
        </w:rPr>
      </w:pPr>
      <w:r/>
      <w:bookmarkStart w:id="137" w:name="_Toc513029230"/>
      <w:r/>
      <w:bookmarkEnd w:id="137"/>
      <w:r/>
      <w:bookmarkStart w:id="138" w:name="_Toc16938546"/>
      <w:r/>
      <w:bookmarkEnd w:id="138"/>
      <w:r/>
      <w:bookmarkStart w:id="139" w:name="_Toc20823302"/>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bookmarkEnd w:id="139"/>
      <w:r>
        <w:rPr>
          <w:rFonts w:hint="eastAsia" w:ascii="宋体" w:hAnsi="宋体" w:eastAsia="宋体" w:cs="宋体"/>
          <w:color w:val="auto"/>
          <w:sz w:val="24"/>
          <w:szCs w:val="24"/>
          <w:highlight w:val="none"/>
        </w:rPr>
        <w:t xml:space="preserve">响应文件解密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.1供应商应当按照《操作手册》规定，在苏采云系统规定的时间内对磋商响应文件进行解密。</w:t>
      </w:r>
      <w:r/>
    </w:p>
    <w:p>
      <w:pPr>
        <w:ind w:firstLine="480"/>
        <w:keepLines/>
        <w:keepNext/>
        <w:spacing w:line="520" w:lineRule="exact"/>
        <w:rPr>
          <w:rFonts w:hint="eastAsia" w:ascii="宋体" w:hAnsi="宋体" w:eastAsia="宋体" w:cs="宋体"/>
          <w:color w:val="auto"/>
          <w:sz w:val="24"/>
          <w:szCs w:val="24"/>
          <w:highlight w:val="none"/>
        </w:rPr>
      </w:pPr>
      <w:r/>
      <w:bookmarkStart w:id="140" w:name="_Toc513029231"/>
      <w:r/>
      <w:bookmarkEnd w:id="140"/>
      <w:r/>
      <w:bookmarkStart w:id="141" w:name="_Toc16938547"/>
      <w:r/>
      <w:bookmarkEnd w:id="141"/>
      <w:r/>
      <w:bookmarkStart w:id="142" w:name="_Toc20823303"/>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、磋商小组</w:t>
      </w:r>
      <w:bookmarkEnd w:id="142"/>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.1采购代理机构将组织磋商小组对响应文件进行评审。磋商小组由采购人代表和有关技术、经济等方面的专家组成，且人员构成符合政府采购有关规定。</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.2磋商小组独立工作，负责评审所有响应文件并确定成交候选人。</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、评审过程的保密与公正</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.1磋商小组、采购人和采购代理机构工作人员、相关监督人员等与评审工作有关的人员，对评审情况以及在评审过程中获悉的国家秘密、商业秘密负有保密责任。</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.2在评审过程中，供应商不得以任何行为影响磋商评审过程，否则其响应文件将被作为无效响应文件。</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.3在项目评审期间，采购代理机构将设专门人员与供应商联系。</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.4采购代理机构和磋商小组不向未成交的供应商解释未成交原因，也不公布评审过程中的相关细节。</w:t>
      </w:r>
      <w:r/>
    </w:p>
    <w:p>
      <w:pPr>
        <w:ind w:firstLine="480"/>
        <w:keepLines/>
        <w:keepNext/>
        <w:spacing w:line="520" w:lineRule="exact"/>
        <w:rPr>
          <w:rFonts w:hint="eastAsia" w:ascii="宋体" w:hAnsi="宋体" w:eastAsia="宋体" w:cs="宋体"/>
          <w:color w:val="auto"/>
          <w:sz w:val="24"/>
          <w:szCs w:val="24"/>
          <w:highlight w:val="none"/>
        </w:rPr>
      </w:pPr>
      <w:r/>
      <w:bookmarkStart w:id="143" w:name="_Toc513029232"/>
      <w:r/>
      <w:bookmarkEnd w:id="143"/>
      <w:r/>
      <w:bookmarkStart w:id="144" w:name="_Toc16938548"/>
      <w:r/>
      <w:bookmarkEnd w:id="144"/>
      <w:r/>
      <w:bookmarkStart w:id="145" w:name="_Toc20823304"/>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、评审过程中的澄清</w:t>
      </w:r>
      <w:bookmarkEnd w:id="145"/>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磋商小组并非对每个供应商都作澄清要求。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 接到磋商小组澄清、说明和更正要求的供应商如未按规定</w:t>
      </w:r>
      <w:r>
        <w:rPr>
          <w:rFonts w:hint="eastAsia" w:ascii="宋体" w:hAnsi="宋体" w:eastAsia="宋体" w:cs="宋体"/>
          <w:color w:val="auto"/>
          <w:sz w:val="24"/>
          <w:szCs w:val="24"/>
          <w:highlight w:val="none"/>
          <w:lang w:val="en-US" w:eastAsia="zh-CN"/>
        </w:rPr>
        <w:t xml:space="preserve">作</w:t>
      </w:r>
      <w:r>
        <w:rPr>
          <w:rFonts w:hint="eastAsia" w:ascii="宋体" w:hAnsi="宋体" w:eastAsia="宋体" w:cs="宋体"/>
          <w:color w:val="auto"/>
          <w:sz w:val="24"/>
          <w:szCs w:val="24"/>
          <w:highlight w:val="none"/>
        </w:rPr>
        <w:t xml:space="preserve">出澄清、说明和更正，其风险由供应商自行承担。</w:t>
      </w:r>
      <w:r/>
    </w:p>
    <w:p>
      <w:pPr>
        <w:ind w:firstLine="480"/>
        <w:keepLines/>
        <w:keepNext/>
        <w:spacing w:line="520" w:lineRule="exact"/>
        <w:rPr>
          <w:rFonts w:hint="eastAsia" w:ascii="宋体" w:hAnsi="宋体" w:eastAsia="宋体" w:cs="宋体"/>
          <w:color w:val="auto"/>
          <w:sz w:val="24"/>
          <w:szCs w:val="24"/>
          <w:highlight w:val="none"/>
        </w:rPr>
      </w:pPr>
      <w:r/>
      <w:bookmarkStart w:id="146" w:name="_Toc513029233"/>
      <w:r/>
      <w:bookmarkEnd w:id="146"/>
      <w:r/>
      <w:bookmarkStart w:id="147" w:name="_Toc16938549"/>
      <w:r/>
      <w:bookmarkEnd w:id="147"/>
      <w:r/>
      <w:bookmarkStart w:id="148" w:name="_Toc20823305"/>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、对响应文件的审</w:t>
      </w:r>
      <w:bookmarkEnd w:id="148"/>
      <w:r>
        <w:rPr>
          <w:rFonts w:hint="eastAsia" w:ascii="宋体" w:hAnsi="宋体" w:eastAsia="宋体" w:cs="宋体"/>
          <w:color w:val="auto"/>
          <w:sz w:val="24"/>
          <w:szCs w:val="24"/>
          <w:highlight w:val="none"/>
        </w:rPr>
        <w:t xml:space="preserve">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.1响应文件审查分为资格审查和符合性审查。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.1.1 资格审查：由磋商小组依据法律法规和磋商文件的规定，对响应文件中的资格证明文件进行审查，以确定供应商是否具备参加磋商的资格。</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磋商小组在进行资格审查的同时，将在“信用中国”网站（www.creditchina.gov.cn）查询供应商的信用记录，以确定供应商是否具备磋商资格。</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.1.2 符合性审查：依据磋商文件的规定，由磋商小组从响应文件的有效性、完整性和对磋商文件的响应程度进行审查，以确定是否对磋商文件的实质性要求作出响应。</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.1.3 未通过资格审查或符合性审查的供应商，磋商小组将在苏采云系统中告知未通过资格审查或符合性审查的原因，评审结束后，磋商小组将不再告知未通过资格审查或符合性审查的原因。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所谓重大偏离或保留是指与磋商文件规定的实质性要求存在负偏离，或者在实质上与磋商文件不一致，</w:t>
      </w:r>
      <w:r>
        <w:rPr>
          <w:rFonts w:hint="eastAsia" w:ascii="宋体" w:hAnsi="宋体" w:eastAsia="宋体" w:cs="宋体"/>
          <w:color w:val="auto"/>
          <w:sz w:val="24"/>
          <w:szCs w:val="24"/>
          <w:highlight w:val="none"/>
          <w:lang w:val="en-US" w:eastAsia="zh-CN"/>
        </w:rPr>
        <w:t xml:space="preserve">并且</w:t>
      </w:r>
      <w:r>
        <w:rPr>
          <w:rFonts w:hint="eastAsia" w:ascii="宋体" w:hAnsi="宋体" w:eastAsia="宋体" w:cs="宋体"/>
          <w:color w:val="auto"/>
          <w:sz w:val="24"/>
          <w:szCs w:val="24"/>
          <w:highlight w:val="none"/>
        </w:rPr>
        <w:t xml:space="preserve">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.3未实质性响应磋商文件的情形</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.3.1供应商在苏采云系统规定的时间内未成功解密电子响应文件的。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.3.2供应商未按照磋商文件要求上传电子响应文件的。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.3.3同一供应商提交两个（含两个）以上不同的响应文件或者最后报价的。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.3.4供应商不具备磋商文件中规定资格要求的。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.3.5供应商的最后报价超过了采购预算。</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.3.6不符合磋商文件中规定的实质性要求和条件的。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.3.7供应商被“信用中国”网站（www.creditchina.gov.cn）列入失信被执行人或重大税收违法失信主体或政府采购严重</w:t>
      </w:r>
      <w:r>
        <w:rPr>
          <w:rFonts w:hint="eastAsia" w:ascii="宋体" w:hAnsi="宋体" w:eastAsia="宋体" w:cs="宋体"/>
          <w:color w:val="auto"/>
          <w:sz w:val="24"/>
          <w:szCs w:val="24"/>
          <w:highlight w:val="none"/>
          <w:lang w:val="en-US" w:eastAsia="zh-CN"/>
        </w:rPr>
        <w:t xml:space="preserve">违法</w:t>
      </w:r>
      <w:r>
        <w:rPr>
          <w:rFonts w:hint="eastAsia" w:ascii="宋体" w:hAnsi="宋体" w:eastAsia="宋体" w:cs="宋体"/>
          <w:color w:val="auto"/>
          <w:sz w:val="24"/>
          <w:szCs w:val="24"/>
          <w:highlight w:val="none"/>
        </w:rPr>
        <w:t xml:space="preserve">失信行为记录名单。或查询“信用中国”网站后发现供应商存在其他不符合《中华人民共和国政府采购法》第二十二条规定条件的信用记录。</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.3.8响应文件</w:t>
      </w:r>
      <w:r>
        <w:rPr>
          <w:rFonts w:hint="eastAsia" w:ascii="宋体" w:hAnsi="宋体" w:eastAsia="宋体" w:cs="宋体"/>
          <w:color w:val="auto"/>
          <w:sz w:val="24"/>
          <w:szCs w:val="24"/>
          <w:highlight w:val="none"/>
          <w:lang w:val="en-US" w:eastAsia="zh-CN"/>
        </w:rPr>
        <w:t xml:space="preserve">中</w:t>
      </w:r>
      <w:r>
        <w:rPr>
          <w:rFonts w:hint="eastAsia" w:ascii="宋体" w:hAnsi="宋体" w:eastAsia="宋体" w:cs="宋体"/>
          <w:color w:val="auto"/>
          <w:sz w:val="24"/>
          <w:szCs w:val="24"/>
          <w:highlight w:val="none"/>
        </w:rPr>
        <w:t xml:space="preserve">含有采购人不能接受的附加条件的。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.3.9响应文件未按照磋商文件要求加盖CA电子公章的。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.4未实质性响应磋商文件的响应文件按无效响应处理。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.5如果响应文件实质上没有响应磋商文件的要求，磋商小组将予以拒绝，供应商不得通过修改或撤销不</w:t>
      </w:r>
      <w:r>
        <w:rPr>
          <w:rFonts w:hint="eastAsia" w:ascii="宋体" w:hAnsi="宋体" w:cs="宋体"/>
          <w:color w:val="auto"/>
          <w:sz w:val="24"/>
          <w:szCs w:val="24"/>
          <w:highlight w:val="none"/>
          <w:lang w:val="en-US" w:eastAsia="zh-CN"/>
        </w:rPr>
        <w:t xml:space="preserve">符</w:t>
      </w:r>
      <w:r>
        <w:rPr>
          <w:rFonts w:hint="eastAsia" w:ascii="宋体" w:hAnsi="宋体" w:eastAsia="宋体" w:cs="宋体"/>
          <w:color w:val="auto"/>
          <w:sz w:val="24"/>
          <w:szCs w:val="24"/>
          <w:highlight w:val="none"/>
        </w:rPr>
        <w:t xml:space="preserve">合要求的偏离或保留而使其成为实质性响应的文件。</w:t>
      </w:r>
      <w:r/>
    </w:p>
    <w:p>
      <w:pPr>
        <w:ind w:firstLine="480"/>
        <w:spacing w:line="520" w:lineRule="exact"/>
        <w:rPr>
          <w:rFonts w:hint="eastAsia" w:ascii="宋体" w:hAnsi="宋体" w:eastAsia="宋体" w:cs="宋体"/>
          <w:color w:val="auto"/>
          <w:sz w:val="24"/>
          <w:szCs w:val="24"/>
          <w:highlight w:val="none"/>
        </w:rPr>
      </w:pPr>
      <w:r/>
      <w:bookmarkStart w:id="149" w:name="_Toc16938550"/>
      <w:r/>
      <w:bookmarkEnd w:id="149"/>
      <w:r/>
      <w:bookmarkStart w:id="150" w:name="_Toc513029234"/>
      <w:r/>
      <w:bookmarkEnd w:id="150"/>
      <w:r/>
      <w:bookmarkStart w:id="151" w:name="_Toc20823306"/>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.6供应商在项目评审全过程中应</w:t>
      </w:r>
      <w:r>
        <w:rPr>
          <w:rFonts w:hint="eastAsia" w:ascii="宋体" w:hAnsi="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，并安排专人与采购代理机构及磋商小组联系。</w:t>
      </w:r>
      <w:bookmarkEnd w:id="151"/>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、磋商程序及评审方法和评审标准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.1磋商程序</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.1.1对于通过资格审查和符合性审查的供应商，磋商小组将集中与单一供应商分别进行磋商。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.1.2磋商文件能够详细列明采购标的的技术、服务要求的，磋商结束后，磋商小组将在苏采云系统要求所有实质性响应的供应商在规定时间内提交最后报价。</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要求其在规定时间内提交最后报价。</w:t>
      </w:r>
      <w:r>
        <w:rPr>
          <w:rFonts w:hint="eastAsia" w:ascii="宋体" w:hAnsi="宋体" w:eastAsia="宋体" w:cs="宋体"/>
          <w:b w:val="0"/>
          <w:bCs w:val="0"/>
          <w:color w:val="auto"/>
          <w:sz w:val="24"/>
          <w:szCs w:val="24"/>
          <w:highlight w:val="none"/>
          <w:lang w:val="en-US" w:eastAsia="zh-CN"/>
        </w:rPr>
        <w:t xml:space="preserve">本项目最后报价仅报总价，最后</w:t>
      </w:r>
      <w:r>
        <w:rPr>
          <w:rFonts w:hint="eastAsia" w:ascii="宋体" w:hAnsi="宋体" w:eastAsia="宋体" w:cs="宋体"/>
          <w:b w:val="0"/>
          <w:bCs w:val="0"/>
          <w:color w:val="auto"/>
          <w:sz w:val="24"/>
          <w:szCs w:val="24"/>
          <w:highlight w:val="none"/>
          <w:lang w:eastAsia="zh-CN"/>
        </w:rPr>
        <w:t xml:space="preserve">各项单价计算方法为：（最后报价总价）/（首次报价总价）*首次各项报价的单价。</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最后报价是供应商响应文件的有效组成部分。符合《政府采购竞争性磋商采购方式</w:t>
      </w:r>
      <w:r>
        <w:rPr>
          <w:rFonts w:hint="eastAsia" w:ascii="宋体" w:hAnsi="宋体" w:eastAsia="宋体" w:cs="宋体"/>
          <w:color w:val="auto"/>
          <w:sz w:val="24"/>
          <w:szCs w:val="24"/>
          <w:highlight w:val="none"/>
          <w:lang w:val="en-US" w:eastAsia="zh-CN"/>
        </w:rPr>
        <w:t xml:space="preserve">管</w:t>
      </w:r>
      <w:r>
        <w:rPr>
          <w:rFonts w:hint="eastAsia" w:ascii="宋体" w:hAnsi="宋体" w:eastAsia="宋体" w:cs="宋体"/>
          <w:color w:val="auto"/>
          <w:sz w:val="24"/>
          <w:szCs w:val="24"/>
          <w:highlight w:val="none"/>
        </w:rPr>
        <w:t xml:space="preserve">理暂行办法》第三条第一款第四项及《财政部关于竞争性磋商采购方式管理暂行办法有关问题的补充通知》（财库[2015]124号）规定情形的，提交最后报价的供应商可以为2家。</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w:t>
      </w:r>
      <w:r>
        <w:rPr>
          <w:rFonts w:hint="eastAsia" w:ascii="宋体" w:hAnsi="宋体" w:eastAsia="宋体" w:cs="宋体"/>
          <w:color w:val="auto"/>
          <w:sz w:val="24"/>
          <w:szCs w:val="24"/>
          <w:highlight w:val="none"/>
          <w:lang w:val="en-US" w:eastAsia="zh-CN"/>
        </w:rPr>
        <w:t xml:space="preserve">实际</w:t>
      </w:r>
      <w:r>
        <w:rPr>
          <w:rFonts w:hint="eastAsia" w:ascii="宋体" w:hAnsi="宋体" w:eastAsia="宋体" w:cs="宋体"/>
          <w:color w:val="auto"/>
          <w:sz w:val="24"/>
          <w:szCs w:val="24"/>
          <w:highlight w:val="none"/>
        </w:rPr>
        <w:t xml:space="preserve">情况退出磋商。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 评审方法和评审标准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.2.1评审方法。经磋商确定最终采购需求和提交最后报价的供应商后，由磋商小组采用综合评分法对提交最后报价的供应商的响应文件和最后报价进行综合评分。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.2.2评审标准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详</w:t>
      </w:r>
      <w:r>
        <w:rPr>
          <w:rFonts w:hint="eastAsia" w:ascii="宋体" w:hAnsi="宋体" w:eastAsia="宋体" w:cs="宋体"/>
          <w:color w:val="auto"/>
          <w:sz w:val="24"/>
          <w:szCs w:val="24"/>
          <w:highlight w:val="none"/>
        </w:rPr>
        <w:t xml:space="preserve">见本磋商文件第五章规定。</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26</w:t>
      </w:r>
      <w:r>
        <w:rPr>
          <w:rFonts w:hint="eastAsia" w:ascii="宋体" w:hAnsi="宋体" w:eastAsia="宋体" w:cs="宋体"/>
          <w:color w:val="auto"/>
          <w:sz w:val="24"/>
          <w:szCs w:val="24"/>
          <w:highlight w:val="none"/>
        </w:rPr>
        <w:t xml:space="preserve">.3采购活动终止的情况</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出现下列情形之一的，本次竞争性磋商采购活动将被终止：</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.3.1因情况变化，不再符合规定的竞争性磋商采购方式适用情形的。</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.3.2出现影响采购公正的违法、违规行为的。</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.3.3除本磋商文件第二章第27.1.2条第三款规定的情形外，在采购过程中符合要求的供应商或者最后报价未超过采购预算的供应商不足3家的。</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.3.4在苏采云系统规定时间内成功解密电子响应文件的供应商不足3家的。</w:t>
      </w:r>
      <w:r/>
    </w:p>
    <w:p>
      <w:pPr>
        <w:ind w:firstLine="482"/>
        <w:keepLines/>
        <w:keepNext/>
        <w:spacing w:line="520" w:lineRule="exact"/>
        <w:rPr>
          <w:rFonts w:hint="eastAsia" w:ascii="宋体" w:hAnsi="宋体" w:eastAsia="宋体" w:cs="宋体"/>
          <w:color w:val="auto"/>
          <w:sz w:val="24"/>
          <w:szCs w:val="24"/>
          <w:highlight w:val="none"/>
        </w:rPr>
      </w:pPr>
      <w:r/>
      <w:bookmarkStart w:id="152" w:name="_Toc20823307"/>
      <w:r/>
      <w:bookmarkEnd w:id="152"/>
      <w:r/>
      <w:bookmarkStart w:id="153" w:name="_Toc513029235"/>
      <w:r/>
      <w:bookmarkEnd w:id="153"/>
      <w:r/>
      <w:bookmarkStart w:id="154" w:name="_Toc16938551"/>
      <w:r/>
      <w:bookmarkEnd w:id="154"/>
      <w:r/>
      <w:bookmarkStart w:id="155" w:name="_Toc120614219"/>
      <w:r>
        <w:rPr>
          <w:rFonts w:hint="eastAsia" w:ascii="宋体" w:hAnsi="宋体" w:eastAsia="宋体" w:cs="宋体"/>
          <w:b/>
          <w:bCs/>
          <w:color w:val="auto"/>
          <w:sz w:val="24"/>
          <w:szCs w:val="24"/>
          <w:highlight w:val="none"/>
        </w:rPr>
        <w:t xml:space="preserve">六、</w:t>
      </w:r>
      <w:bookmarkEnd w:id="155"/>
      <w:r>
        <w:rPr>
          <w:rFonts w:hint="eastAsia" w:ascii="宋体" w:hAnsi="宋体" w:eastAsia="宋体" w:cs="宋体"/>
          <w:b/>
          <w:bCs/>
          <w:color w:val="auto"/>
          <w:sz w:val="24"/>
          <w:szCs w:val="24"/>
          <w:highlight w:val="none"/>
        </w:rPr>
        <w:t xml:space="preserve">成交</w:t>
      </w:r>
      <w:r/>
    </w:p>
    <w:p>
      <w:pPr>
        <w:ind w:firstLine="480"/>
        <w:keepLines/>
        <w:keepNext/>
        <w:spacing w:line="520" w:lineRule="exact"/>
        <w:rPr>
          <w:rFonts w:hint="eastAsia" w:ascii="宋体" w:hAnsi="宋体" w:eastAsia="宋体" w:cs="宋体"/>
          <w:color w:val="auto"/>
          <w:sz w:val="24"/>
          <w:szCs w:val="24"/>
          <w:highlight w:val="none"/>
        </w:rPr>
      </w:pPr>
      <w:r/>
      <w:bookmarkStart w:id="156" w:name="_Toc16938554"/>
      <w:r/>
      <w:bookmarkEnd w:id="156"/>
      <w:r/>
      <w:bookmarkStart w:id="157" w:name="_Toc513029238"/>
      <w:r/>
      <w:bookmarkEnd w:id="157"/>
      <w:r/>
      <w:bookmarkStart w:id="158" w:name="_Toc20823310"/>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bookmarkEnd w:id="158"/>
      <w:r>
        <w:rPr>
          <w:rFonts w:hint="eastAsia" w:ascii="宋体" w:hAnsi="宋体" w:eastAsia="宋体" w:cs="宋体"/>
          <w:color w:val="auto"/>
          <w:sz w:val="24"/>
          <w:szCs w:val="24"/>
          <w:highlight w:val="none"/>
        </w:rPr>
        <w:t xml:space="preserve">确定成交单位</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.2采购人从评审报告提出的成交候选供应商中，按照排序由高到低的原则确定成交供应商。采购人确定成交供应商后，采购代理机构将在“江苏政府采购网”发布成交结果公告，公告期限为1个工作日。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.3若有充分证据证明，成交供应商出现下列情况之一的，一经查实，将被取消成交资格：</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.3.1提供虚假材料牟取成交的。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.3.2与评审专家、采购人、其他供应商或者采购代理机构工作人员恶意串通的。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.3.3向评审专家、采购人或采购代理机构工作人员行贿或者提供其他不正当利益的。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3.4磋商小组认定供应商的报价明显低于其他通过符合性审查供应商的报价，有可能影响产品质量或者不能诚信履约，且供应商不能应磋商小组要求在合理的时间内提供书面说明（必要时磋商小组可要求供应商提交相关证明材料）证明其报价合理性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.3.5不满足本磋商文件规定的实质性要求，但在评审过程中又未被磋商小组发现的。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.3.6成交后无正当理由拒不与采购人签订政府采购合同或者未按照磋商文件确定的事项签订政府采购合同的。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.3.7将政府采购合同转包的。</w:t>
      </w:r>
      <w:r/>
    </w:p>
    <w:p>
      <w:pPr>
        <w:ind w:firstLine="480"/>
        <w:keepLines/>
        <w:keepNext/>
        <w:spacing w:line="520" w:lineRule="exact"/>
        <w:rPr>
          <w:rFonts w:hint="eastAsia" w:ascii="宋体" w:hAnsi="宋体" w:eastAsia="宋体" w:cs="宋体"/>
          <w:color w:val="auto"/>
          <w:sz w:val="24"/>
          <w:szCs w:val="24"/>
          <w:highlight w:val="none"/>
        </w:rPr>
      </w:pPr>
      <w:r/>
      <w:bookmarkStart w:id="159" w:name="_Toc200451960"/>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、质疑处理</w:t>
      </w:r>
      <w:bookmarkEnd w:id="159"/>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 提出质疑的供应商应当是参与所质疑项目采购活动的供应商。潜在供应商依法获取其可质疑的采购文件的，可以对采购文件提出质疑。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.2供应商认为采购文件、采购过程和采购结果使自己的权益受到损害的，可以在知道或应知其权益受到损害之日起七个工作日内，以书面形式根据下述2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.4条款的规定向采购代理机构或采购人提出质疑。上述应知其权益受到损害之日，是指：</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.2.1对可以质疑的采购文件提出质疑的，为收到采购文件之日或者采购文件公告期限届满之日。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.2.2对采购过程提出质疑的，为各采购程序环节结束之日。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.2.3对成交结果提出质疑的，为成交结果公告期限届满之日。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.4 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供应商（含潜在供应商）对与本项目有关的所有询问、质疑均请向采购人提出，由采购人负责答复。</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采购人及采购代理机构只</w:t>
      </w:r>
      <w:r>
        <w:rPr>
          <w:rFonts w:hint="eastAsia" w:ascii="宋体" w:hAnsi="宋体" w:eastAsia="宋体" w:cs="宋体"/>
          <w:color w:val="auto"/>
          <w:sz w:val="24"/>
          <w:szCs w:val="24"/>
          <w:highlight w:val="none"/>
          <w:lang w:val="en-US" w:eastAsia="zh-CN"/>
        </w:rPr>
        <w:t xml:space="preserve">接受</w:t>
      </w:r>
      <w:r>
        <w:rPr>
          <w:rFonts w:hint="eastAsia" w:ascii="宋体" w:hAnsi="宋体" w:eastAsia="宋体" w:cs="宋体"/>
          <w:color w:val="auto"/>
          <w:sz w:val="24"/>
          <w:szCs w:val="24"/>
          <w:highlight w:val="none"/>
        </w:rPr>
        <w:t xml:space="preserve">以纸质原件形式送达的质疑。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采购人质疑接收人及联系方式见本磋商文件第一章。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 以下情形的质疑不予受理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.5.1 内容不符合《政府采购质疑和投诉办法》第十二条规定的质疑。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.5.2 超出政府采购法定期限的质疑。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.5.3 以传真、电子邮件等方式递交的非原件形式的质疑。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.5.4 未参加磋商活动的供应商或在磋商活动中自身权益未受到损害的供应商所提出的质疑。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.5.5供应商组成联合体参加磋商，联合体中任何一方或多方未按要求签字、盖章、加盖公章的质疑。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、成交通知书</w:t>
      </w:r>
      <w:r/>
    </w:p>
    <w:p>
      <w:pPr>
        <w:ind w:firstLine="480"/>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1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ind w:firstLine="482"/>
        <w:keepLines/>
        <w:keepNext/>
        <w:spacing w:line="520" w:lineRule="exact"/>
        <w:rPr>
          <w:rFonts w:hint="eastAsia" w:ascii="宋体" w:hAnsi="宋体" w:eastAsia="宋体" w:cs="宋体"/>
          <w:color w:val="auto"/>
          <w:sz w:val="24"/>
          <w:szCs w:val="24"/>
          <w:highlight w:val="none"/>
        </w:rPr>
      </w:pPr>
      <w:r/>
      <w:bookmarkStart w:id="160" w:name="_Toc16938552"/>
      <w:r/>
      <w:bookmarkEnd w:id="160"/>
      <w:r/>
      <w:bookmarkStart w:id="161" w:name="_Toc513029236"/>
      <w:r/>
      <w:bookmarkEnd w:id="161"/>
      <w:r/>
      <w:bookmarkStart w:id="162" w:name="_Toc120614220"/>
      <w:r/>
      <w:bookmarkEnd w:id="162"/>
      <w:r/>
      <w:bookmarkStart w:id="163" w:name="_Toc20823308"/>
      <w:r>
        <w:rPr>
          <w:rFonts w:hint="eastAsia" w:ascii="宋体" w:hAnsi="宋体" w:eastAsia="宋体" w:cs="宋体"/>
          <w:b/>
          <w:bCs/>
          <w:color w:val="auto"/>
          <w:sz w:val="24"/>
          <w:szCs w:val="24"/>
          <w:highlight w:val="none"/>
        </w:rPr>
        <w:t xml:space="preserve">七、授予合同</w:t>
      </w:r>
      <w:bookmarkEnd w:id="163"/>
      <w:r/>
      <w:r/>
    </w:p>
    <w:p>
      <w:pPr>
        <w:ind w:firstLine="480"/>
        <w:keepLines/>
        <w:keepNext/>
        <w:spacing w:line="520" w:lineRule="exact"/>
        <w:rPr>
          <w:rFonts w:hint="eastAsia" w:ascii="宋体" w:hAnsi="宋体" w:eastAsia="宋体" w:cs="宋体"/>
          <w:color w:val="auto"/>
          <w:sz w:val="24"/>
          <w:szCs w:val="24"/>
          <w:highlight w:val="none"/>
        </w:rPr>
      </w:pPr>
      <w:r/>
      <w:bookmarkStart w:id="164" w:name="_Toc16938553"/>
      <w:r/>
      <w:bookmarkEnd w:id="164"/>
      <w:r/>
      <w:bookmarkStart w:id="165" w:name="_Toc513029237"/>
      <w:r/>
      <w:bookmarkEnd w:id="165"/>
      <w:r/>
      <w:bookmarkStart w:id="166" w:name="_Toc20823309"/>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、签订合同</w:t>
      </w:r>
      <w:bookmarkEnd w:id="166"/>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.l成交供应商应当在成交通知书发出之日起三十日内，按照磋商文件确定的事项与采购人签订政府采购合同。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.2磋商文件、成交供应商的响应文件及磋商过程中有关澄清、承诺文件均应作为合同附件。</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.3 签订合同后，</w:t>
      </w:r>
      <w:r>
        <w:rPr>
          <w:rFonts w:hint="eastAsia" w:ascii="宋体" w:hAnsi="宋体" w:eastAsia="宋体" w:cs="宋体"/>
          <w:iCs/>
          <w:color w:val="auto"/>
          <w:sz w:val="24"/>
          <w:szCs w:val="24"/>
          <w:highlight w:val="none"/>
        </w:rPr>
        <w:t xml:space="preserve">成交供应商不得将合同标的进行转包</w:t>
      </w:r>
      <w:r>
        <w:rPr>
          <w:rFonts w:hint="eastAsia" w:ascii="宋体" w:hAnsi="宋体" w:eastAsia="宋体" w:cs="宋体"/>
          <w:color w:val="auto"/>
          <w:sz w:val="24"/>
          <w:szCs w:val="24"/>
          <w:highlight w:val="none"/>
        </w:rPr>
        <w:t xml:space="preserve">。未经采购人同意，成交供应商也不得采用分包形式履行合同,否则采购人有权终止合同。转包或分包造成采购人损失的，成交供应商应承担相应赔偿责任。</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、标的物的追加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10%。</w:t>
      </w:r>
      <w:r/>
    </w:p>
    <w:p>
      <w:pPr>
        <w:ind w:firstLine="480"/>
        <w:keepLines/>
        <w:keepNext/>
        <w:spacing w:line="520" w:lineRule="exact"/>
        <w:rPr>
          <w:rFonts w:hint="eastAsia" w:ascii="宋体" w:hAnsi="宋体" w:eastAsia="宋体" w:cs="宋体"/>
          <w:color w:val="auto"/>
          <w:sz w:val="24"/>
          <w:szCs w:val="24"/>
          <w:highlight w:val="none"/>
        </w:rPr>
      </w:pPr>
      <w:r/>
      <w:bookmarkStart w:id="167" w:name="_Toc16938558"/>
      <w:r/>
      <w:bookmarkEnd w:id="167"/>
      <w:r/>
      <w:bookmarkStart w:id="168" w:name="_Toc20823314"/>
      <w:r/>
      <w:bookmarkEnd w:id="168"/>
      <w:r/>
      <w:bookmarkStart w:id="169" w:name="_Toc479757207"/>
      <w:r/>
      <w:bookmarkEnd w:id="169"/>
      <w:r/>
      <w:bookmarkStart w:id="170" w:name="_Toc513029242"/>
      <w:r/>
      <w:bookmarkEnd w:id="170"/>
      <w:r/>
      <w:bookmarkStart w:id="171" w:name="_Toc120614221"/>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、政府采购履约资金扶持政策</w:t>
      </w:r>
      <w:bookmarkEnd w:id="171"/>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成交供应商可凭政府采购合同办理融资贷款，详情请见江苏政府采购网“政采贷”专栏。</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、落实《商品包装政府采购需求标准（试行）》、《快递包装政府采购需求标准（试行）》的相关政策，商品包装和快递包装应符合文件要求。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、按照《绿色数据中心政府采购需求标准(试行)》（财库[2023]7号）文件要求执行。</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、根据《商品包装政府采购需求标准（试行）》、《快递包装政府采购需求标准（试行）》的通知（财办库[2020]123号要求，商品使用的塑料、纸质、木材等包装需达到环保要求。</w:t>
      </w:r>
      <w:r/>
    </w:p>
    <w:p>
      <w:pPr>
        <w:ind w:firstLine="480"/>
        <w:keepLines/>
        <w:keepNext/>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0"/>
        <w:keepLines/>
        <w:keepNext/>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0"/>
        <w:keepLines/>
        <w:keepNext/>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0"/>
        <w:keepLines/>
        <w:keepNext/>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0"/>
        <w:keepLines/>
        <w:keepNext/>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0"/>
        <w:keepLines/>
        <w:keepNext/>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93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3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640"/>
        <w:keepNext/>
        <w:rPr>
          <w:rFonts w:hint="eastAsia" w:ascii="宋体" w:hAnsi="宋体" w:eastAsia="宋体" w:cs="宋体"/>
          <w:color w:val="auto"/>
          <w:sz w:val="24"/>
          <w:szCs w:val="24"/>
          <w:highlight w:val="none"/>
        </w:rPr>
        <w:outlineLvl w:val="0"/>
      </w:pPr>
      <w:r/>
      <w:bookmarkStart w:id="172" w:name="_Toc26517"/>
      <w:r>
        <w:rPr>
          <w:rFonts w:hint="eastAsia" w:ascii="宋体" w:hAnsi="宋体" w:eastAsia="宋体" w:cs="宋体"/>
          <w:color w:val="auto"/>
          <w:sz w:val="44"/>
          <w:szCs w:val="44"/>
          <w:highlight w:val="none"/>
        </w:rPr>
        <w:t xml:space="preserve">第三章 合同文本</w:t>
      </w:r>
      <w:bookmarkEnd w:id="172"/>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rPr>
      </w:pPr>
      <w:r/>
      <w:bookmarkStart w:id="173" w:name="_Toc513029243"/>
      <w:r/>
      <w:bookmarkEnd w:id="173"/>
      <w:r/>
      <w:bookmarkStart w:id="174" w:name="_Toc462564139"/>
      <w:r/>
      <w:bookmarkEnd w:id="174"/>
      <w:r/>
      <w:bookmarkStart w:id="175" w:name="_Toc16938590"/>
      <w:r/>
      <w:bookmarkEnd w:id="175"/>
      <w:r/>
      <w:bookmarkStart w:id="176" w:name="_Toc20823346"/>
      <w:r/>
      <w:bookmarkEnd w:id="176"/>
      <w:r/>
      <w:bookmarkStart w:id="177" w:name="_Toc16938559"/>
      <w:r/>
      <w:bookmarkEnd w:id="177"/>
      <w:r/>
      <w:bookmarkStart w:id="178" w:name="_Hlt16619350"/>
      <w:r/>
      <w:bookmarkEnd w:id="178"/>
      <w:r/>
      <w:bookmarkStart w:id="179" w:name="_Hlt16619369"/>
      <w:r/>
      <w:bookmarkEnd w:id="179"/>
      <w:r/>
      <w:bookmarkStart w:id="180" w:name="_Toc120614244"/>
      <w:r/>
      <w:bookmarkEnd w:id="180"/>
      <w:r/>
      <w:bookmarkStart w:id="181" w:name="_Toc479757211"/>
      <w:r/>
      <w:bookmarkStart w:id="182" w:name="_Toc31380"/>
      <w:r>
        <w:rPr>
          <w:rFonts w:hint="eastAsia" w:ascii="宋体" w:hAnsi="宋体" w:eastAsia="宋体" w:cs="宋体"/>
          <w:color w:val="auto"/>
          <w:sz w:val="24"/>
          <w:szCs w:val="24"/>
          <w:highlight w:val="none"/>
        </w:rPr>
        <w:t xml:space="preserve">以下为</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与</w:t>
      </w:r>
      <w:r>
        <w:rPr>
          <w:rFonts w:hint="eastAsia" w:ascii="宋体" w:hAnsi="宋体" w:eastAsia="宋体" w:cs="宋体"/>
          <w:color w:val="auto"/>
          <w:sz w:val="24"/>
          <w:szCs w:val="24"/>
          <w:highlight w:val="none"/>
          <w:lang w:val="en-US" w:eastAsia="zh-CN"/>
        </w:rPr>
        <w:t xml:space="preserve">成交供应商</w:t>
      </w:r>
      <w:r>
        <w:rPr>
          <w:rFonts w:hint="eastAsia" w:ascii="宋体" w:hAnsi="宋体" w:eastAsia="宋体" w:cs="宋体"/>
          <w:color w:val="auto"/>
          <w:sz w:val="24"/>
          <w:szCs w:val="24"/>
          <w:highlight w:val="none"/>
        </w:rPr>
        <w:t xml:space="preserve">签订本项目合同的通用条款，</w:t>
      </w:r>
      <w:r>
        <w:rPr>
          <w:rFonts w:hint="eastAsia" w:ascii="宋体" w:hAnsi="宋体" w:eastAsia="宋体" w:cs="宋体"/>
          <w:color w:val="auto"/>
          <w:sz w:val="24"/>
          <w:szCs w:val="24"/>
          <w:highlight w:val="none"/>
          <w:lang w:val="en-US" w:eastAsia="zh-CN"/>
        </w:rPr>
        <w:t xml:space="preserve">成交供应商</w:t>
      </w:r>
      <w:r>
        <w:rPr>
          <w:rFonts w:hint="eastAsia" w:ascii="宋体" w:hAnsi="宋体" w:eastAsia="宋体" w:cs="宋体"/>
          <w:color w:val="auto"/>
          <w:sz w:val="24"/>
          <w:szCs w:val="24"/>
          <w:highlight w:val="none"/>
        </w:rPr>
        <w:t xml:space="preserve">不得提出实质性的修改，关于专用条款将由</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人与</w:t>
      </w:r>
      <w:r>
        <w:rPr>
          <w:rFonts w:hint="eastAsia" w:ascii="宋体" w:hAnsi="宋体" w:eastAsia="宋体" w:cs="宋体"/>
          <w:color w:val="auto"/>
          <w:sz w:val="24"/>
          <w:szCs w:val="24"/>
          <w:highlight w:val="none"/>
          <w:lang w:val="en-US" w:eastAsia="zh-CN"/>
        </w:rPr>
        <w:t xml:space="preserve">成交供应商</w:t>
      </w:r>
      <w:r>
        <w:rPr>
          <w:rFonts w:hint="eastAsia" w:ascii="宋体" w:hAnsi="宋体" w:eastAsia="宋体" w:cs="宋体"/>
          <w:color w:val="auto"/>
          <w:sz w:val="24"/>
          <w:szCs w:val="24"/>
          <w:highlight w:val="none"/>
        </w:rPr>
        <w:t xml:space="preserve">结合本项目具体情况协商后签订。</w:t>
      </w:r>
      <w:r/>
    </w:p>
    <w:p>
      <w:pP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b/>
          <w:bCs/>
          <w:color w:val="auto"/>
          <w:sz w:val="48"/>
          <w:szCs w:val="48"/>
          <w:highlight w:val="none"/>
        </w:rPr>
      </w:pPr>
      <w:r>
        <w:rPr>
          <w:rFonts w:hint="eastAsia" w:ascii="宋体" w:hAnsi="宋体" w:eastAsia="宋体" w:cs="宋体"/>
          <w:b/>
          <w:bCs/>
          <w:color w:val="auto"/>
          <w:sz w:val="48"/>
          <w:szCs w:val="48"/>
          <w:highlight w:val="none"/>
        </w:rPr>
      </w:r>
      <w:r/>
    </w:p>
    <w:p>
      <w:pPr>
        <w:jc w:val="center"/>
        <w:spacing w:line="360" w:lineRule="auto"/>
        <w:rPr>
          <w:rFonts w:hint="eastAsia" w:ascii="宋体" w:hAnsi="宋体" w:eastAsia="宋体" w:cs="宋体"/>
          <w:b/>
          <w:bCs/>
          <w:color w:val="auto"/>
          <w:sz w:val="48"/>
          <w:szCs w:val="48"/>
          <w:highlight w:val="none"/>
        </w:rPr>
      </w:pPr>
      <w:r>
        <w:rPr>
          <w:rFonts w:hint="eastAsia" w:ascii="宋体" w:hAnsi="宋体" w:eastAsia="宋体" w:cs="宋体"/>
          <w:b/>
          <w:bCs/>
          <w:color w:val="auto"/>
          <w:sz w:val="48"/>
          <w:szCs w:val="48"/>
          <w:highlight w:val="none"/>
        </w:rPr>
      </w:r>
      <w:r/>
    </w:p>
    <w:p>
      <w:pPr>
        <w:jc w:val="center"/>
        <w:spacing w:line="360" w:lineRule="auto"/>
        <w:rPr>
          <w:rFonts w:hint="eastAsia" w:ascii="宋体" w:hAnsi="宋体" w:eastAsia="宋体" w:cs="宋体"/>
          <w:b/>
          <w:bCs/>
          <w:color w:val="auto"/>
          <w:sz w:val="48"/>
          <w:szCs w:val="48"/>
          <w:highlight w:val="none"/>
        </w:rPr>
      </w:pPr>
      <w:r>
        <w:rPr>
          <w:rFonts w:hint="eastAsia" w:ascii="宋体" w:hAnsi="宋体" w:eastAsia="宋体" w:cs="宋体"/>
          <w:b/>
          <w:bCs/>
          <w:color w:val="auto"/>
          <w:sz w:val="48"/>
          <w:szCs w:val="48"/>
          <w:highlight w:val="none"/>
        </w:rPr>
      </w:r>
      <w:r/>
    </w:p>
    <w:p>
      <w:pPr>
        <w:jc w:val="center"/>
        <w:spacing w:line="360" w:lineRule="auto"/>
        <w:rPr>
          <w:rFonts w:hint="eastAsia" w:ascii="宋体" w:hAnsi="宋体" w:eastAsia="宋体" w:cs="宋体"/>
          <w:b/>
          <w:bCs/>
          <w:color w:val="auto"/>
          <w:sz w:val="48"/>
          <w:szCs w:val="48"/>
          <w:highlight w:val="none"/>
        </w:rPr>
      </w:pPr>
      <w:r>
        <w:rPr>
          <w:rFonts w:hint="eastAsia" w:ascii="宋体" w:hAnsi="宋体" w:eastAsia="宋体" w:cs="宋体"/>
          <w:b/>
          <w:bCs/>
          <w:color w:val="auto"/>
          <w:sz w:val="48"/>
          <w:szCs w:val="48"/>
          <w:highlight w:val="none"/>
        </w:rPr>
      </w:r>
      <w:r/>
    </w:p>
    <w:p>
      <w:pPr>
        <w:jc w:val="center"/>
        <w:spacing w:line="360" w:lineRule="auto"/>
        <w:rPr>
          <w:rFonts w:hint="eastAsia" w:ascii="宋体" w:hAnsi="宋体" w:eastAsia="宋体" w:cs="宋体"/>
          <w:b/>
          <w:bCs/>
          <w:color w:val="auto"/>
          <w:sz w:val="48"/>
          <w:szCs w:val="48"/>
          <w:highlight w:val="none"/>
        </w:rPr>
      </w:pPr>
      <w:r>
        <w:rPr>
          <w:rFonts w:hint="eastAsia" w:ascii="宋体" w:hAnsi="宋体" w:eastAsia="宋体" w:cs="宋体"/>
          <w:b/>
          <w:bCs/>
          <w:color w:val="auto"/>
          <w:sz w:val="48"/>
          <w:szCs w:val="48"/>
          <w:highlight w:val="none"/>
        </w:rPr>
      </w:r>
      <w:r/>
    </w:p>
    <w:p>
      <w:pPr>
        <w:jc w:val="center"/>
        <w:spacing w:line="360" w:lineRule="auto"/>
        <w:rPr>
          <w:rFonts w:hint="eastAsia" w:ascii="宋体" w:hAnsi="宋体" w:eastAsia="宋体" w:cs="宋体"/>
          <w:b/>
          <w:bCs/>
          <w:color w:val="auto"/>
          <w:sz w:val="48"/>
          <w:szCs w:val="48"/>
          <w:highlight w:val="none"/>
        </w:rPr>
      </w:pPr>
      <w:r>
        <w:rPr>
          <w:rFonts w:hint="eastAsia" w:ascii="宋体" w:hAnsi="宋体" w:eastAsia="宋体" w:cs="宋体"/>
          <w:b/>
          <w:bCs/>
          <w:color w:val="auto"/>
          <w:sz w:val="48"/>
          <w:szCs w:val="48"/>
          <w:highlight w:val="none"/>
        </w:rPr>
      </w:r>
      <w:r/>
    </w:p>
    <w:p>
      <w:pPr>
        <w:jc w:val="center"/>
        <w:spacing w:line="360" w:lineRule="auto"/>
        <w:rPr>
          <w:rFonts w:hint="eastAsia" w:ascii="宋体" w:hAnsi="宋体" w:eastAsia="宋体" w:cs="宋体"/>
          <w:b/>
          <w:bCs/>
          <w:color w:val="auto"/>
          <w:sz w:val="48"/>
          <w:szCs w:val="48"/>
          <w:highlight w:val="none"/>
        </w:rPr>
      </w:pPr>
      <w:r>
        <w:rPr>
          <w:rFonts w:hint="eastAsia" w:ascii="宋体" w:hAnsi="宋体" w:eastAsia="宋体" w:cs="宋体"/>
          <w:b/>
          <w:bCs/>
          <w:color w:val="auto"/>
          <w:sz w:val="48"/>
          <w:szCs w:val="48"/>
          <w:highlight w:val="none"/>
        </w:rPr>
      </w:r>
      <w:r/>
    </w:p>
    <w:p>
      <w:pPr>
        <w:jc w:val="center"/>
        <w:spacing w:line="360" w:lineRule="auto"/>
        <w:rPr>
          <w:rFonts w:hint="eastAsia" w:ascii="宋体" w:hAnsi="宋体" w:eastAsia="宋体" w:cs="宋体"/>
          <w:b/>
          <w:bCs/>
          <w:color w:val="auto"/>
          <w:sz w:val="48"/>
          <w:szCs w:val="48"/>
          <w:highlight w:val="none"/>
        </w:rPr>
      </w:pPr>
      <w:r>
        <w:rPr>
          <w:rFonts w:hint="eastAsia" w:ascii="宋体" w:hAnsi="宋体" w:eastAsia="宋体" w:cs="宋体"/>
          <w:b/>
          <w:bCs/>
          <w:color w:val="auto"/>
          <w:sz w:val="48"/>
          <w:szCs w:val="48"/>
          <w:highlight w:val="none"/>
        </w:rPr>
      </w:r>
      <w:r/>
    </w:p>
    <w:p>
      <w:pPr>
        <w:jc w:val="center"/>
        <w:spacing w:line="360" w:lineRule="auto"/>
        <w:rPr>
          <w:rFonts w:hint="eastAsia" w:ascii="宋体" w:hAnsi="宋体" w:eastAsia="宋体" w:cs="宋体"/>
          <w:b/>
          <w:bCs/>
          <w:color w:val="auto"/>
          <w:sz w:val="48"/>
          <w:szCs w:val="48"/>
          <w:highlight w:val="none"/>
        </w:rPr>
      </w:pPr>
      <w:r>
        <w:rPr>
          <w:rFonts w:hint="eastAsia" w:ascii="宋体" w:hAnsi="宋体" w:eastAsia="宋体" w:cs="宋体"/>
          <w:b/>
          <w:bCs/>
          <w:color w:val="auto"/>
          <w:sz w:val="48"/>
          <w:szCs w:val="48"/>
          <w:highlight w:val="none"/>
        </w:rPr>
      </w:r>
      <w:r/>
    </w:p>
    <w:p>
      <w:pPr>
        <w:jc w:val="center"/>
        <w:spacing w:line="360" w:lineRule="auto"/>
        <w:rPr>
          <w:rFonts w:hint="eastAsia" w:ascii="宋体" w:hAnsi="宋体" w:eastAsia="宋体" w:cs="宋体"/>
          <w:b/>
          <w:bCs/>
          <w:color w:val="auto"/>
          <w:sz w:val="48"/>
          <w:szCs w:val="48"/>
          <w:highlight w:val="none"/>
        </w:rPr>
      </w:pPr>
      <w:r>
        <w:rPr>
          <w:rFonts w:hint="eastAsia" w:ascii="宋体" w:hAnsi="宋体" w:eastAsia="宋体" w:cs="宋体"/>
          <w:b/>
          <w:bCs/>
          <w:color w:val="auto"/>
          <w:sz w:val="48"/>
          <w:szCs w:val="48"/>
          <w:highlight w:val="none"/>
        </w:rPr>
      </w:r>
      <w:r/>
    </w:p>
    <w:p>
      <w:pPr>
        <w:jc w:val="center"/>
        <w:spacing w:line="360" w:lineRule="auto"/>
        <w:rPr>
          <w:rFonts w:hint="eastAsia" w:ascii="宋体" w:hAnsi="宋体" w:eastAsia="宋体" w:cs="宋体"/>
          <w:b/>
          <w:bCs/>
          <w:color w:val="auto"/>
          <w:sz w:val="48"/>
          <w:szCs w:val="48"/>
          <w:highlight w:val="none"/>
        </w:rPr>
      </w:pPr>
      <w:r>
        <w:rPr>
          <w:rFonts w:hint="eastAsia" w:ascii="宋体" w:hAnsi="宋体" w:eastAsia="宋体" w:cs="宋体"/>
          <w:b/>
          <w:bCs/>
          <w:color w:val="auto"/>
          <w:sz w:val="48"/>
          <w:szCs w:val="48"/>
          <w:highlight w:val="none"/>
        </w:rPr>
      </w:r>
      <w:r/>
    </w:p>
    <w:p>
      <w:pPr>
        <w:jc w:val="center"/>
        <w:spacing w:line="360" w:lineRule="auto"/>
        <w:rPr>
          <w:rFonts w:hint="eastAsia" w:ascii="宋体" w:hAnsi="宋体" w:eastAsia="宋体" w:cs="宋体"/>
          <w:b/>
          <w:bCs/>
          <w:color w:val="auto"/>
          <w:sz w:val="48"/>
          <w:szCs w:val="48"/>
          <w:highlight w:val="none"/>
        </w:rPr>
      </w:pPr>
      <w:r>
        <w:rPr>
          <w:rFonts w:hint="eastAsia" w:ascii="宋体" w:hAnsi="宋体" w:eastAsia="宋体" w:cs="宋体"/>
          <w:b/>
          <w:bCs/>
          <w:color w:val="auto"/>
          <w:sz w:val="48"/>
          <w:szCs w:val="48"/>
          <w:highlight w:val="none"/>
        </w:rPr>
      </w:r>
      <w:r/>
    </w:p>
    <w:p>
      <w:pPr>
        <w:jc w:val="center"/>
        <w:spacing w:line="360" w:lineRule="auto"/>
        <w:rPr>
          <w:rFonts w:hint="eastAsia" w:ascii="宋体" w:hAnsi="宋体" w:eastAsia="宋体" w:cs="宋体"/>
          <w:b/>
          <w:bCs/>
          <w:color w:val="auto"/>
          <w:sz w:val="48"/>
          <w:szCs w:val="48"/>
          <w:highlight w:val="none"/>
        </w:rPr>
      </w:pPr>
      <w:r>
        <w:rPr>
          <w:rFonts w:hint="eastAsia" w:ascii="宋体" w:hAnsi="宋体" w:eastAsia="宋体" w:cs="宋体"/>
          <w:b/>
          <w:bCs/>
          <w:color w:val="auto"/>
          <w:sz w:val="48"/>
          <w:szCs w:val="48"/>
          <w:highlight w:val="none"/>
        </w:rPr>
        <w:t xml:space="preserve">考古勘探合同书</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甲方：泰州医药高新区（高港区）滨江工业园管理办公室</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u w:val="single"/>
        </w:rPr>
        <w:t xml:space="preserve">                              </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园区地块考古调查勘探工作技术服务项目经竞争性磋商采购，同时经甲乙双方友好协商，达成以下考古勘探合同。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一、考古勘探内容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1、项目名称：园区地块考古调查勘探工作技术服务项目。 </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2、勘探面积：总面积约为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平方米。具体勘探面积以经甲乙双方确认的实际勘探面积为准。具体实施项目由采购人确定，部分项目如取消，</w:t>
      </w:r>
      <w:r>
        <w:rPr>
          <w:rFonts w:hint="eastAsia" w:ascii="宋体" w:hAnsi="宋体" w:cs="宋体"/>
          <w:color w:val="auto"/>
          <w:sz w:val="24"/>
          <w:szCs w:val="24"/>
          <w:highlight w:val="none"/>
          <w:lang w:val="en-US" w:eastAsia="zh-CN"/>
        </w:rPr>
        <w:t xml:space="preserve">成交供应商</w:t>
      </w:r>
      <w:r>
        <w:rPr>
          <w:rFonts w:hint="eastAsia" w:ascii="宋体" w:hAnsi="宋体" w:eastAsia="宋体" w:cs="宋体"/>
          <w:color w:val="auto"/>
          <w:sz w:val="24"/>
          <w:szCs w:val="24"/>
          <w:highlight w:val="none"/>
        </w:rPr>
        <w:t xml:space="preserve">不可索赔。</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3、考古勘探费用：依据采购结果，乙方以人民币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元/㎡的单价承接园区地块考古调查勘探工作技术服务项目。本合同形式为固定单价合同，项目实施过程中合同单价不予调整，最终费用结算方式：根据实际勘探面积为结算依据，以“实际勘探面积×</w:t>
      </w:r>
      <w:r>
        <w:rPr>
          <w:rFonts w:hint="eastAsia" w:ascii="宋体" w:hAnsi="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单价”予以计算。</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价包括但不限于与本委托任务相关的人员（包括工资和补贴）、地下文物勘探费、专家评审费、车旅费、住勤费、餐饮费、税金及其他为完成委托任务所需发生的一切费用。现场内的通行条件由乙方自行踏勘，合同价已充分考虑施工现场的现状及所需设备和材料的各项费用，全部费用均包含在合同价中。</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合同签订后甲方应提前以书面或口头形式告知乙方各地块进场时间及时序安排，以便乙方为达到考古勘探要求，提前准备好与本项目相关的足够的人力、物力以便完成项目勘探。乙方收到甲方通知后，按照甲方要求完成相关考古勘探工作并取得</w:t>
      </w:r>
      <w:r>
        <w:rPr>
          <w:rFonts w:hint="eastAsia" w:ascii="宋体" w:hAnsi="宋体" w:eastAsia="宋体" w:cs="宋体"/>
          <w:bCs/>
          <w:color w:val="auto"/>
          <w:sz w:val="24"/>
          <w:highlight w:val="none"/>
        </w:rPr>
        <w:t xml:space="preserve">省文物局盖章的《关于***地块文物保护工作意见》。</w:t>
      </w:r>
      <w:r/>
    </w:p>
    <w:p>
      <w:pPr>
        <w:numPr>
          <w:ilvl w:val="0"/>
          <w:numId w:val="1"/>
        </w:num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付款方式：</w:t>
      </w:r>
      <w:r>
        <w:rPr>
          <w:rFonts w:hint="eastAsia" w:ascii="宋体" w:hAnsi="宋体" w:cs="宋体"/>
          <w:color w:val="auto"/>
          <w:sz w:val="24"/>
          <w:szCs w:val="24"/>
          <w:highlight w:val="none"/>
          <w:lang w:val="en-US" w:eastAsia="zh-CN"/>
        </w:rPr>
        <w:t xml:space="preserve">按照时间要求，在规定的服务期限内完成全部勘探工作，</w:t>
      </w:r>
      <w:r>
        <w:rPr>
          <w:rFonts w:hint="eastAsia" w:ascii="宋体" w:hAnsi="宋体" w:eastAsia="宋体" w:cs="宋体"/>
          <w:color w:val="auto"/>
          <w:sz w:val="24"/>
          <w:szCs w:val="24"/>
          <w:highlight w:val="none"/>
          <w:u w:val="single"/>
        </w:rPr>
        <w:t xml:space="preserve">取得</w:t>
      </w:r>
      <w:r>
        <w:rPr>
          <w:rFonts w:hint="eastAsia" w:ascii="宋体" w:hAnsi="宋体" w:cs="宋体"/>
          <w:color w:val="auto"/>
          <w:sz w:val="24"/>
          <w:szCs w:val="24"/>
          <w:highlight w:val="none"/>
          <w:u w:val="single"/>
          <w:lang w:val="en-US" w:eastAsia="zh-CN"/>
        </w:rPr>
        <w:t xml:space="preserve">江苏</w:t>
      </w:r>
      <w:r>
        <w:rPr>
          <w:rFonts w:hint="eastAsia" w:ascii="宋体" w:hAnsi="宋体" w:eastAsia="宋体" w:cs="宋体"/>
          <w:color w:val="auto"/>
          <w:sz w:val="24"/>
          <w:szCs w:val="24"/>
          <w:highlight w:val="none"/>
          <w:u w:val="single"/>
        </w:rPr>
        <w:t xml:space="preserve">省</w:t>
      </w:r>
      <w:r>
        <w:rPr>
          <w:rFonts w:hint="eastAsia" w:ascii="宋体" w:hAnsi="宋体" w:eastAsia="宋体" w:cs="宋体"/>
          <w:bCs/>
          <w:color w:val="auto"/>
          <w:sz w:val="24"/>
          <w:highlight w:val="none"/>
          <w:u w:val="single"/>
        </w:rPr>
        <w:t xml:space="preserve">文物局盖章的《关于***地块文物保护工作意见》</w:t>
      </w:r>
      <w:r>
        <w:rPr>
          <w:rFonts w:hint="eastAsia" w:ascii="宋体" w:hAnsi="宋体" w:eastAsia="宋体" w:cs="宋体"/>
          <w:color w:val="auto"/>
          <w:sz w:val="24"/>
          <w:szCs w:val="24"/>
          <w:highlight w:val="none"/>
          <w:u w:val="single"/>
        </w:rPr>
        <w:t xml:space="preserve">后一次性支付。</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5、项目服务期限：</w:t>
      </w:r>
      <w:r>
        <w:rPr>
          <w:rFonts w:hint="eastAsia" w:ascii="宋体" w:hAnsi="宋体" w:cs="宋体"/>
          <w:color w:val="auto"/>
          <w:sz w:val="24"/>
          <w:szCs w:val="24"/>
          <w:highlight w:val="none"/>
          <w:lang w:val="en-US" w:eastAsia="zh-CN"/>
        </w:rPr>
        <w:t xml:space="preserve">按照采购文件要求，自合同签订之日起2个月内完成全部工作</w:t>
      </w:r>
      <w:r>
        <w:rPr>
          <w:rFonts w:hint="eastAsia" w:ascii="宋体" w:hAnsi="宋体" w:eastAsia="宋体" w:cs="宋体"/>
          <w:color w:val="auto"/>
          <w:sz w:val="24"/>
          <w:szCs w:val="24"/>
          <w:highlight w:val="none"/>
          <w:lang w:val="en-US" w:eastAsia="zh-CN"/>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二、双方责任</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甲方责任：</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1、负责考古调查、勘探项目的确认、协调等相关工作，积极协助乙方开展考古调查、勘探工作。</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2、协助乙方调查采访项目所在地块原始居民。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3、及时向乙方提交该项目地块规划红线图。</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4、确保考古调查、勘探区域范围内无产权等纠纷。</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5、协助文物部门对考古调查、勘探工作现场开展指导检查、审核验收等工作。</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乙方责任：</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1、接受文物部门组织的专家对本项目考古调查、勘探工作现场的指导检查、监督管理及审核验收。</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完成本项目考古调查、勘探工作后，及时整理并向文物部门指定的文物收藏机构移交有关考古调查、勘探资料及调查、勘探采集的文物标本，及时编制本项目考古调查、勘探工作成果报告，并对报告的准确性和科学性负责；根据文物部门所组织专家的意见与建议，及时修改完善本项目考古调查、勘探资料及本项目最终成果报告。</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3、自主开展本项目考古调查、勘探工作，实行独立核算，自负盈亏。</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4、在本项目考古调查、勘探工作期间，须严格遵守国家及当地相关法律法规。 </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5、自行解决本项目考古调查、勘探工作中的一切问题，包括但不限于工作人员及设备、交通、保险、医疗、税务、财务、吃住等。 </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严格按照国家文物局颁布的《田野考古操作规程》《考古勘探工作规程》（试行），及文物部门的相关要求开展工作，确保考古调查、勘探工作的质量及最终成果的真实可靠；由于乙方自身原因出现漏探、误探、瞒探等问题，使地下文物受损，给甲方及省文物局带来负面影响和损失，由此产生的后果和责任由乙方负完全责任。</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乙方负责本项目考古调查、勘探工作现场的安全保卫工作，并对服务过程中的安全负全部责任，所有用工人员的人身安全、工地现场的安全等方面的安全问题均由乙方负责，甲方可对乙方的安全工作进行监督提醒。在本项目考古调查、勘探工作期间，乙方调查、勘探发现古代遗迹、墓葬等遗存后，应立即采取有效保护措施，第一时间将所发现的古代遗存以清单形式书面通知甲方及文物部门，由甲方采取安全保卫措施。若乙方未及时通知，造成古代遗存的丢失、毁损，由乙方承担相应的民事及刑事责任。</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三、履约保证金：成交价的</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%，在合同签订前缴纳，项目通过验收并取得省文物局意见后不计利息退还。</w:t>
      </w:r>
      <w:r/>
    </w:p>
    <w:p>
      <w:pPr>
        <w:ind w:firstLine="480"/>
        <w:spacing w:line="52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四、其他</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1.本合同经双方代表签字并加盖单位公章或合同章后生效。一式四份，甲乙双方各持贰份，各份均具有同等法律效力。</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2.甲乙双方应诚实守信，按本合同约定履行各自的责任、义务，如有违约，违约方承担由此引起的责任和损失。</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甲乙双方因履行本合同事项引起争议时，应相互谅解，以支持对方工作为原则协商处理。如双方协商不成，应上报主管部门调解。调解不成时，任何一方均可就因本合同引起的或与本合同有关的任何争议，提请甲方所在地有管辖权的人民法院进行诉讼。</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协议首部载明的各方地址为一切形式的通知、催告及诉讼文书的送达地址，送达方均采用书面形式送达，如因受送达方提供的地址不准确或未及时书面告知变更后的地址，导致通知、催告及诉讼文书无法送达或未及时送达的，送达方采用邮寄形式送达的，退回之日视为送达之日。</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5.本协议适用中华人民共和国现行有效之法律、行政法规和其他有约束力的规范性文件。</w:t>
      </w:r>
      <w:r/>
    </w:p>
    <w:p>
      <w:pPr>
        <w:pStyle w:val="932"/>
        <w:ind w:firstLine="480"/>
        <w:jc w:val="both"/>
        <w:spacing w:before="0" w:beforeAutospacing="0" w:after="0" w:afterAutospacing="0" w:line="520" w:lineRule="exact"/>
        <w:tabs>
          <w:tab w:val="left" w:pos="1706"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甲方：（盖章）                      乙方：（盖章）</w:t>
      </w:r>
      <w:r/>
    </w:p>
    <w:p>
      <w:pPr>
        <w:pStyle w:val="932"/>
        <w:ind w:firstLine="480"/>
        <w:jc w:val="both"/>
        <w:spacing w:before="0" w:beforeAutospacing="0" w:after="0" w:afterAutospacing="0"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甲方法人代表</w:t>
      </w:r>
      <w:bookmarkStart w:id="183" w:name="_Hlk77953516"/>
      <w:r>
        <w:rPr>
          <w:rFonts w:hint="eastAsia" w:ascii="宋体" w:hAnsi="宋体" w:eastAsia="宋体" w:cs="宋体"/>
          <w:color w:val="auto"/>
          <w:highlight w:val="none"/>
        </w:rPr>
        <w:t xml:space="preserve">/</w:t>
      </w:r>
      <w:bookmarkEnd w:id="183"/>
      <w:r>
        <w:rPr>
          <w:rFonts w:hint="eastAsia" w:ascii="宋体" w:hAnsi="宋体" w:eastAsia="宋体" w:cs="宋体"/>
          <w:color w:val="auto"/>
          <w:highlight w:val="none"/>
        </w:rPr>
        <w:t xml:space="preserve">                       乙方法人代表/</w:t>
      </w:r>
      <w:r/>
    </w:p>
    <w:p>
      <w:pPr>
        <w:pStyle w:val="932"/>
        <w:ind w:firstLine="480"/>
        <w:jc w:val="both"/>
        <w:spacing w:before="0" w:beforeAutospacing="0" w:after="0" w:afterAutospacing="0" w:line="520" w:lineRule="exact"/>
        <w:rPr>
          <w:rFonts w:hint="eastAsia" w:ascii="宋体" w:hAnsi="宋体" w:eastAsia="宋体" w:cs="宋体"/>
          <w:color w:val="auto"/>
          <w:highlight w:val="none"/>
        </w:rPr>
      </w:pPr>
      <w:r/>
      <w:bookmarkStart w:id="184" w:name="_Hlk77953533"/>
      <w:r>
        <w:rPr>
          <w:rFonts w:hint="eastAsia" w:ascii="宋体" w:hAnsi="宋体" w:eastAsia="宋体" w:cs="宋体"/>
          <w:color w:val="auto"/>
          <w:highlight w:val="none"/>
        </w:rPr>
        <w:t xml:space="preserve">委托代理人：</w:t>
      </w:r>
      <w:bookmarkEnd w:id="184"/>
      <w:r>
        <w:rPr>
          <w:rFonts w:hint="eastAsia" w:ascii="宋体" w:hAnsi="宋体" w:eastAsia="宋体" w:cs="宋体"/>
          <w:color w:val="auto"/>
          <w:highlight w:val="none"/>
        </w:rPr>
        <w:t xml:space="preserve">（盖章或签字）：       委托代理人：（盖章或签字）</w:t>
      </w:r>
      <w:r/>
    </w:p>
    <w:p>
      <w:pPr>
        <w:pStyle w:val="932"/>
        <w:ind w:firstLine="480"/>
        <w:jc w:val="both"/>
        <w:spacing w:before="0" w:beforeAutospacing="0" w:after="0" w:afterAutospacing="0" w:line="520" w:lineRule="exact"/>
        <w:rPr>
          <w:rFonts w:hint="eastAsia" w:ascii="宋体" w:hAnsi="宋体" w:eastAsia="宋体" w:cs="宋体"/>
          <w:color w:val="auto"/>
          <w:sz w:val="44"/>
          <w:szCs w:val="44"/>
          <w:highlight w:val="none"/>
        </w:rPr>
      </w:pPr>
      <w:r>
        <w:rPr>
          <w:rFonts w:hint="eastAsia" w:ascii="宋体" w:hAnsi="宋体" w:eastAsia="宋体" w:cs="宋体"/>
          <w:color w:val="auto"/>
          <w:highlight w:val="none"/>
        </w:rPr>
        <w:t xml:space="preserve">日期：   年   月   日          </w:t>
      </w:r>
      <w:r>
        <w:rPr>
          <w:rFonts w:hint="eastAsia" w:eastAsia="宋体" w:cs="宋体"/>
          <w:color w:val="auto"/>
          <w:highlight w:val="none"/>
          <w:lang w:val="en-US" w:eastAsia="zh-CN"/>
        </w:rPr>
        <w:t xml:space="preserve">     </w:t>
      </w:r>
      <w:r>
        <w:rPr>
          <w:rFonts w:hint="eastAsia" w:ascii="宋体" w:hAnsi="宋体" w:eastAsia="宋体" w:cs="宋体"/>
          <w:color w:val="auto"/>
          <w:highlight w:val="none"/>
        </w:rPr>
        <w:t xml:space="preserve">日期：    年   月  日</w:t>
      </w:r>
      <w:r/>
    </w:p>
    <w:p>
      <w:pPr>
        <w:rPr>
          <w:rFonts w:hint="eastAsia"/>
          <w:highlight w:val="none"/>
        </w:rPr>
      </w:pPr>
      <w:r>
        <w:rPr>
          <w:rFonts w:hint="eastAsia"/>
          <w:highlight w:val="none"/>
        </w:rPr>
      </w:r>
      <w:r/>
    </w:p>
    <w:p>
      <w:pPr>
        <w:jc w:val="center"/>
        <w:spacing w:before="120" w:after="120" w:line="0" w:lineRule="atLeast"/>
        <w:rPr>
          <w:rFonts w:hint="eastAsia" w:ascii="宋体" w:hAnsi="宋体" w:eastAsia="宋体" w:cs="宋体"/>
          <w:color w:val="auto"/>
          <w:sz w:val="24"/>
          <w:szCs w:val="24"/>
          <w:highlight w:val="none"/>
        </w:rPr>
        <w:outlineLvl w:val="0"/>
      </w:pPr>
      <w:r>
        <w:rPr>
          <w:rFonts w:hint="eastAsia" w:ascii="宋体" w:hAnsi="宋体" w:eastAsia="宋体" w:cs="宋体"/>
          <w:color w:val="auto"/>
          <w:sz w:val="44"/>
          <w:szCs w:val="44"/>
          <w:highlight w:val="none"/>
        </w:rPr>
        <w:t xml:space="preserve">第</w:t>
      </w:r>
      <w:bookmarkEnd w:id="181"/>
      <w:r>
        <w:rPr>
          <w:rFonts w:hint="eastAsia" w:ascii="宋体" w:hAnsi="宋体" w:eastAsia="宋体" w:cs="宋体"/>
          <w:color w:val="auto"/>
          <w:sz w:val="44"/>
          <w:szCs w:val="44"/>
          <w:highlight w:val="none"/>
        </w:rPr>
        <w:t xml:space="preserve">四章 采购需求</w:t>
      </w:r>
      <w:bookmarkEnd w:id="182"/>
      <w:r/>
      <w:bookmarkStart w:id="185" w:name="_Toc26554093"/>
      <w:r/>
      <w:bookmarkEnd w:id="185"/>
      <w:r/>
      <w:bookmarkStart w:id="186" w:name="_Toc49090575"/>
      <w:r/>
      <w:bookmarkEnd w:id="186"/>
      <w:r/>
      <w:r/>
    </w:p>
    <w:p>
      <w:pPr>
        <w:ind w:firstLine="482"/>
        <w:spacing w:line="520" w:lineRule="exact"/>
        <w:widowControl/>
        <w:rPr>
          <w:rFonts w:hint="eastAsia" w:ascii="宋体" w:hAnsi="宋体" w:eastAsia="宋体" w:cs="宋体"/>
          <w:b/>
          <w:color w:val="auto"/>
          <w:sz w:val="24"/>
          <w:highlight w:val="none"/>
        </w:rPr>
      </w:pPr>
      <w:r/>
      <w:bookmarkStart w:id="187" w:name="_Toc22673"/>
      <w:r/>
      <w:bookmarkStart w:id="188" w:name="_Toc120614281"/>
      <w:r>
        <w:rPr>
          <w:rFonts w:hint="eastAsia" w:ascii="宋体" w:hAnsi="宋体" w:eastAsia="宋体" w:cs="宋体"/>
          <w:b/>
          <w:color w:val="auto"/>
          <w:sz w:val="24"/>
          <w:highlight w:val="none"/>
        </w:rPr>
        <w:t xml:space="preserve">一、项目概况：</w:t>
      </w:r>
      <w:r/>
    </w:p>
    <w:p>
      <w:pPr>
        <w:ind w:firstLine="480"/>
        <w:spacing w:line="520" w:lineRule="exact"/>
        <w:widowControl/>
        <w:rPr>
          <w:rFonts w:hint="eastAsia" w:ascii="宋体" w:hAnsi="宋体" w:eastAsia="宋体" w:cs="宋体"/>
          <w:bCs/>
          <w:color w:val="auto"/>
          <w:sz w:val="24"/>
          <w:highlight w:val="none"/>
          <w:lang w:bidi="zh-CN"/>
        </w:rPr>
      </w:pPr>
      <w:r>
        <w:rPr>
          <w:rFonts w:hint="eastAsia" w:ascii="宋体" w:hAnsi="宋体" w:eastAsia="宋体" w:cs="宋体"/>
          <w:color w:val="auto"/>
          <w:sz w:val="24"/>
          <w:szCs w:val="24"/>
          <w:highlight w:val="none"/>
          <w:lang w:val="en-US" w:eastAsia="zh-CN"/>
        </w:rPr>
        <w:t xml:space="preserve">对泰州市高港区化学新材料产业园区内两个拟开发地块进行考古调查、文物勘探。具体位置：地块一位于内泰镇路西侧、创汇路南侧，面积约120000㎡；地块二位于园内滨江金属物流交易市场南侧、南官河西侧，面积约19000㎡。</w:t>
      </w:r>
      <w:r>
        <w:rPr>
          <w:rFonts w:hint="eastAsia" w:ascii="宋体" w:hAnsi="宋体" w:eastAsia="宋体" w:cs="宋体"/>
          <w:bCs/>
          <w:color w:val="auto"/>
          <w:sz w:val="24"/>
          <w:highlight w:val="none"/>
          <w:lang w:bidi="zh-CN"/>
        </w:rPr>
        <w:t xml:space="preserve">实际面积以盖章红线图为准。</w:t>
      </w:r>
      <w:r/>
    </w:p>
    <w:p>
      <w:pPr>
        <w:ind w:firstLine="482"/>
        <w:spacing w:line="520" w:lineRule="exact"/>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lang w:bidi="zh-CN"/>
        </w:rPr>
        <w:t xml:space="preserve">二、</w:t>
      </w:r>
      <w:r>
        <w:rPr>
          <w:rFonts w:hint="eastAsia" w:ascii="宋体" w:hAnsi="宋体" w:eastAsia="宋体" w:cs="宋体"/>
          <w:b/>
          <w:color w:val="auto"/>
          <w:sz w:val="24"/>
          <w:highlight w:val="none"/>
        </w:rPr>
        <w:t xml:space="preserve">服务工作要求：</w:t>
      </w:r>
      <w:r/>
    </w:p>
    <w:p>
      <w:pPr>
        <w:ind w:firstLine="480"/>
        <w:spacing w:line="520" w:lineRule="exact"/>
        <w:widowControl/>
        <w:rPr>
          <w:rFonts w:hint="eastAsia" w:ascii="宋体" w:hAnsi="宋体" w:eastAsia="宋体" w:cs="宋体"/>
          <w:color w:val="auto"/>
          <w:sz w:val="24"/>
          <w:highlight w:val="none"/>
          <w:lang w:bidi="zh-CN"/>
        </w:rPr>
      </w:pPr>
      <w:r>
        <w:rPr>
          <w:rFonts w:hint="eastAsia" w:ascii="宋体" w:hAnsi="宋体" w:eastAsia="宋体" w:cs="宋体"/>
          <w:color w:val="auto"/>
          <w:sz w:val="24"/>
          <w:highlight w:val="none"/>
          <w:lang w:bidi="zh-CN"/>
        </w:rPr>
        <w:t xml:space="preserve">（一）</w:t>
      </w:r>
      <w:r>
        <w:rPr>
          <w:rFonts w:hint="eastAsia" w:ascii="宋体" w:hAnsi="宋体" w:eastAsia="宋体" w:cs="宋体"/>
          <w:color w:val="auto"/>
          <w:sz w:val="24"/>
          <w:highlight w:val="none"/>
        </w:rPr>
        <w:t xml:space="preserve">对</w:t>
      </w:r>
      <w:r>
        <w:rPr>
          <w:rFonts w:hint="eastAsia" w:ascii="宋体" w:hAnsi="宋体" w:eastAsia="宋体" w:cs="宋体"/>
          <w:color w:val="auto"/>
          <w:sz w:val="24"/>
          <w:szCs w:val="24"/>
          <w:highlight w:val="none"/>
        </w:rPr>
        <w:t xml:space="preserve">园区地块</w:t>
      </w:r>
      <w:r>
        <w:rPr>
          <w:rFonts w:hint="eastAsia" w:ascii="宋体" w:hAnsi="宋体" w:eastAsia="宋体" w:cs="宋体"/>
          <w:color w:val="auto"/>
          <w:sz w:val="24"/>
          <w:highlight w:val="none"/>
        </w:rPr>
        <w:t xml:space="preserve">进行全面文物考古调查、勘探，负责编制《用地块范围考古调查、勘探工作报告》及相关手续办理。</w:t>
      </w:r>
      <w:r/>
    </w:p>
    <w:p>
      <w:pPr>
        <w:ind w:firstLine="480"/>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zh-CN"/>
        </w:rPr>
        <w:t xml:space="preserve">（</w:t>
      </w:r>
      <w:r>
        <w:rPr>
          <w:rFonts w:hint="eastAsia" w:ascii="宋体" w:hAnsi="宋体" w:eastAsia="宋体" w:cs="宋体"/>
          <w:color w:val="auto"/>
          <w:sz w:val="24"/>
          <w:highlight w:val="none"/>
          <w:lang w:val="en-US" w:bidi="zh-CN"/>
        </w:rPr>
        <w:t xml:space="preserve">二</w:t>
      </w:r>
      <w:r>
        <w:rPr>
          <w:rFonts w:hint="eastAsia" w:ascii="宋体" w:hAnsi="宋体" w:eastAsia="宋体" w:cs="宋体"/>
          <w:color w:val="auto"/>
          <w:sz w:val="24"/>
          <w:highlight w:val="none"/>
          <w:lang w:bidi="zh-CN"/>
        </w:rPr>
        <w:t xml:space="preserve">）负责编制《用地块范围考古调查、勘探工作报告》，协助省文物局组织的专家验收，同时根据专家验收意见报文物部门审批，最终获取</w:t>
      </w:r>
      <w:r>
        <w:rPr>
          <w:rFonts w:hint="eastAsia" w:ascii="宋体" w:hAnsi="宋体" w:eastAsia="宋体" w:cs="宋体"/>
          <w:bCs/>
          <w:color w:val="auto"/>
          <w:sz w:val="24"/>
          <w:highlight w:val="none"/>
        </w:rPr>
        <w:t xml:space="preserve">省文物局盖章的《关于***地块文物保护工作意见》</w:t>
      </w:r>
      <w:r>
        <w:rPr>
          <w:rFonts w:hint="eastAsia" w:ascii="宋体" w:hAnsi="宋体" w:eastAsia="宋体" w:cs="宋体"/>
          <w:color w:val="auto"/>
          <w:sz w:val="24"/>
          <w:highlight w:val="none"/>
          <w:lang w:bidi="zh-CN"/>
        </w:rPr>
        <w:t xml:space="preserve">。</w:t>
      </w:r>
      <w:r/>
    </w:p>
    <w:p>
      <w:pPr>
        <w:ind w:firstLine="480"/>
        <w:spacing w:line="520" w:lineRule="exac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三</w:t>
      </w:r>
      <w:r>
        <w:rPr>
          <w:rFonts w:hint="eastAsia" w:ascii="宋体" w:hAnsi="宋体" w:eastAsia="宋体" w:cs="宋体"/>
          <w:bCs/>
          <w:color w:val="auto"/>
          <w:sz w:val="24"/>
          <w:highlight w:val="none"/>
        </w:rPr>
        <w:t xml:space="preserve">）工作须按照国家文物局颁布的《田野考古工作规程》、《考古勘探工作规程（试行）》进行，所有的调查、勘探成果需科学规范、精确记录。</w:t>
      </w:r>
      <w:r/>
    </w:p>
    <w:p>
      <w:pPr>
        <w:ind w:firstLine="480"/>
        <w:spacing w:line="520" w:lineRule="exact"/>
        <w:widowControl/>
        <w:rPr>
          <w:rFonts w:hint="eastAsia" w:ascii="宋体" w:hAnsi="宋体" w:eastAsia="宋体" w:cs="宋体"/>
          <w:color w:val="auto"/>
          <w:highlight w:val="none"/>
        </w:rPr>
      </w:pP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四</w:t>
      </w:r>
      <w:r>
        <w:rPr>
          <w:rFonts w:hint="eastAsia" w:ascii="宋体" w:hAnsi="宋体" w:eastAsia="宋体" w:cs="宋体"/>
          <w:bCs/>
          <w:color w:val="auto"/>
          <w:sz w:val="24"/>
          <w:highlight w:val="none"/>
        </w:rPr>
        <w:t xml:space="preserve">）</w:t>
      </w:r>
      <w:r>
        <w:rPr>
          <w:rFonts w:hint="eastAsia" w:ascii="宋体" w:hAnsi="宋体" w:eastAsia="宋体" w:cs="宋体"/>
          <w:color w:val="auto"/>
          <w:sz w:val="24"/>
          <w:szCs w:val="24"/>
          <w:highlight w:val="none"/>
        </w:rPr>
        <w:t xml:space="preserve">服务标准：</w:t>
      </w:r>
      <w:r>
        <w:rPr>
          <w:rFonts w:hint="eastAsia" w:ascii="宋体" w:hAnsi="宋体" w:eastAsia="宋体" w:cs="宋体"/>
          <w:bCs/>
          <w:color w:val="auto"/>
          <w:sz w:val="24"/>
          <w:highlight w:val="none"/>
          <w:lang w:bidi="zh-CN"/>
        </w:rPr>
        <w:t xml:space="preserve">成交供应商</w:t>
      </w:r>
      <w:r>
        <w:rPr>
          <w:rFonts w:hint="eastAsia" w:ascii="宋体" w:hAnsi="宋体" w:eastAsia="宋体" w:cs="宋体"/>
          <w:color w:val="auto"/>
          <w:sz w:val="24"/>
          <w:szCs w:val="24"/>
          <w:highlight w:val="none"/>
        </w:rPr>
        <w:t xml:space="preserve">须按照国家文物局颁布的《田野考古操作规程》及《考古勘探工作规程》（试行）完成各类文字记录、照相摄像记录、测绘记录，记录要求、标准及其归档等参照江苏省文物局考古调查、勘探项目验收之规定执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五</w:t>
      </w:r>
      <w:r>
        <w:rPr>
          <w:rFonts w:hint="eastAsia" w:ascii="宋体" w:hAnsi="宋体" w:eastAsia="宋体" w:cs="宋体"/>
          <w:bCs/>
          <w:color w:val="auto"/>
          <w:sz w:val="24"/>
          <w:highlight w:val="none"/>
        </w:rPr>
        <w:t xml:space="preserve">）</w:t>
      </w:r>
      <w:r>
        <w:rPr>
          <w:rFonts w:hint="eastAsia" w:ascii="宋体" w:hAnsi="宋体" w:eastAsia="宋体" w:cs="宋体"/>
          <w:color w:val="auto"/>
          <w:sz w:val="24"/>
          <w:szCs w:val="24"/>
          <w:highlight w:val="none"/>
        </w:rPr>
        <w:t xml:space="preserve">在考古调查、勘探工作结束后，</w:t>
      </w:r>
      <w:r>
        <w:rPr>
          <w:rFonts w:hint="eastAsia" w:ascii="宋体" w:hAnsi="宋体" w:eastAsia="宋体" w:cs="宋体"/>
          <w:bCs/>
          <w:color w:val="auto"/>
          <w:sz w:val="24"/>
          <w:highlight w:val="none"/>
          <w:lang w:bidi="zh-CN"/>
        </w:rPr>
        <w:t xml:space="preserve">成交供应商</w:t>
      </w:r>
      <w:r>
        <w:rPr>
          <w:rFonts w:hint="eastAsia" w:ascii="宋体" w:hAnsi="宋体" w:eastAsia="宋体" w:cs="宋体"/>
          <w:color w:val="auto"/>
          <w:sz w:val="24"/>
          <w:szCs w:val="24"/>
          <w:highlight w:val="none"/>
        </w:rPr>
        <w:t xml:space="preserve">须组织（采购人配合其出具相关手续）论证及报批工作并负责相关费用，并出具正式地块文物考古调查勘探报告和省文物局盖章的《关于***地块文物保护工作意见》。</w:t>
      </w:r>
      <w:r>
        <w:rPr>
          <w:rFonts w:hint="eastAsia" w:ascii="宋体" w:hAnsi="宋体" w:eastAsia="宋体" w:cs="宋体"/>
          <w:bCs/>
          <w:color w:val="auto"/>
          <w:sz w:val="24"/>
          <w:highlight w:val="none"/>
          <w:lang w:bidi="zh-CN"/>
        </w:rPr>
        <w:t xml:space="preserve">成交供应商</w:t>
      </w:r>
      <w:r>
        <w:rPr>
          <w:rFonts w:hint="eastAsia" w:ascii="宋体" w:hAnsi="宋体" w:eastAsia="宋体" w:cs="宋体"/>
          <w:color w:val="auto"/>
          <w:sz w:val="24"/>
          <w:szCs w:val="24"/>
          <w:highlight w:val="none"/>
        </w:rPr>
        <w:t xml:space="preserve">须同步向采购人及文物部门提交符合部门条件与要求的考古调查、勘探成果报告纸质版叁套、电子版壹套，并一次性向文物部门指定的文物收藏机构移交本项目地块考古调查、勘探资料（纸质和电子版各壹套）及调查、勘探采集的文物标本。</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六</w:t>
      </w:r>
      <w:r>
        <w:rPr>
          <w:rFonts w:hint="eastAsia" w:ascii="宋体" w:hAnsi="宋体" w:eastAsia="宋体" w:cs="宋体"/>
          <w:color w:val="auto"/>
          <w:sz w:val="24"/>
          <w:highlight w:val="none"/>
        </w:rPr>
        <w:t xml:space="preserve">）本项目的实施必须符合国家、江苏省、有关规范、规程和相关技术文件，以及招标要求，提交成果资料应详实、准确、全面。</w:t>
      </w:r>
      <w:r/>
    </w:p>
    <w:p>
      <w:pPr>
        <w:ind w:firstLine="482"/>
        <w:spacing w:line="52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三、服务人员要求：</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1.为了满足考古调查勘探项目的要求及强度，供应商须配备相应的人员进行考古调查勘探，项目成员需接受过专业训练、具有多年从事</w:t>
      </w:r>
      <w:r>
        <w:rPr>
          <w:rFonts w:hint="eastAsia" w:ascii="宋体" w:hAnsi="宋体" w:eastAsia="宋体" w:cs="宋体"/>
          <w:bCs/>
          <w:color w:val="auto"/>
          <w:sz w:val="24"/>
          <w:highlight w:val="none"/>
        </w:rPr>
        <w:t xml:space="preserve">考古调查勘探</w:t>
      </w:r>
      <w:r>
        <w:rPr>
          <w:rFonts w:hint="eastAsia" w:ascii="宋体" w:hAnsi="宋体" w:eastAsia="宋体" w:cs="宋体"/>
          <w:color w:val="auto"/>
          <w:sz w:val="24"/>
          <w:highlight w:val="none"/>
        </w:rPr>
        <w:t xml:space="preserve">的工作经验。供应商须为本项目配备项目负责人、技术负责人、现场联络人、各种专业技术人员和相关服务人员。</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2.当天考古调查勘探工作结束后，现场不得留有项目成员的遗留垃圾，保证现场人走场清。</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3.进场前，供应商应组织相关人员的安全教育培训，明确工作纪律。如由供应商人员所引起的事故，供应商应承担所有责任，同时采购人保留追究其相关责任的权利。</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4.供应商须加强现场管理，维持现场秩序，保障考古调查勘探工作有条不紊的进行，同时采取安全防护措施确保现场安全。</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供应商人员因违规操作发生事故或损坏地下管线，由供应商自行处理并承担由此造成的所有损失和费用。对考古工作中出现的高危项目，供应商应向采购人说明，并要求采取合理的保护措施，确保人员安全。在安全条件和措施不到位的情况下，供应商应及时向采购人报告并暂停施工。</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6.供应商对其勘探项目的人员、物资、场地等安全负全部责任。</w:t>
      </w:r>
      <w:r/>
    </w:p>
    <w:p>
      <w:pPr>
        <w:ind w:firstLine="482"/>
        <w:spacing w:line="52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四、其他要求：</w:t>
      </w:r>
      <w:r/>
    </w:p>
    <w:p>
      <w:pPr>
        <w:ind w:firstLine="482"/>
        <w:spacing w:line="52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（一）采购人责任：</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1.负责考古调查、勘探项目的确认、协调等相关工作，积极协助成交供应商开展考古调查、勘探工作。</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2.协助成交供应商调查采访项目所在地块原始居民。</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3.及时向成交供应商提交该项目地块规划红线图。</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4.确保考古调查、勘探区域范围内无产权等纠纷。</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5.协助文物部门对考古调查、勘探工作现场开展指导检查、审核验收等工作。</w:t>
      </w:r>
      <w:r/>
    </w:p>
    <w:p>
      <w:pPr>
        <w:ind w:firstLine="482"/>
        <w:spacing w:line="52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（二）成交供应商责任：</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1.接受文物部门组织的专家对本项目考古调查、勘探工作现场的指导检查、监督管理及审核验收。</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完成本项目考古调查、勘探工作后，及时整理并向文物部门指定的文物收藏机构移交有关考古调查、勘探资料及调查、勘探采集的文物标本，及时编制本项目考古调查、勘探工作成果报告，并对报告的准确性和科学性负责；根据文物部门所组织专家的意见与建议，及时修改完善本项目考古调查、勘探资料及本项目最终成果报告。</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3.自主开展本项目考古调查、勘探工作，实行独立核算，自负盈亏。</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4.在本项目考古调查、勘探工作期间，须严格遵守国家及省相关法律法规。</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5.自行解决本项目考古调查、勘探工作中的一切问题，包括但不限于工作人员及设备、交通、保险、医疗、税务、财务、吃住等。</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6.严格按照国家文物局颁布的《田野考古操作规程》《考古勘探工作规程》（试行），及文物部门的相关要求开展工作，确保考古调查、勘探工作的质量及最终成果的真实可靠；由于</w:t>
      </w:r>
      <w:r>
        <w:rPr>
          <w:rFonts w:hint="eastAsia" w:ascii="宋体" w:hAnsi="宋体" w:eastAsia="宋体" w:cs="宋体"/>
          <w:color w:val="auto"/>
          <w:sz w:val="24"/>
          <w:highlight w:val="none"/>
        </w:rPr>
        <w:t xml:space="preserve">成交供应商</w:t>
      </w:r>
      <w:r>
        <w:rPr>
          <w:rFonts w:hint="eastAsia" w:ascii="宋体" w:hAnsi="宋体" w:eastAsia="宋体" w:cs="宋体"/>
          <w:color w:val="auto"/>
          <w:sz w:val="24"/>
          <w:highlight w:val="none"/>
        </w:rPr>
        <w:t xml:space="preserve">自身原因出现漏探、误探、瞒探等问题，使地下文物受损，给采购人及省文物局带来负面影响和损失，由此产生的后果和责任由</w:t>
      </w:r>
      <w:r>
        <w:rPr>
          <w:rFonts w:hint="eastAsia" w:ascii="宋体" w:hAnsi="宋体" w:eastAsia="宋体" w:cs="宋体"/>
          <w:color w:val="auto"/>
          <w:sz w:val="24"/>
          <w:highlight w:val="none"/>
        </w:rPr>
        <w:t xml:space="preserve">成交供应商</w:t>
      </w:r>
      <w:r>
        <w:rPr>
          <w:rFonts w:hint="eastAsia" w:ascii="宋体" w:hAnsi="宋体" w:eastAsia="宋体" w:cs="宋体"/>
          <w:color w:val="auto"/>
          <w:sz w:val="24"/>
          <w:highlight w:val="none"/>
        </w:rPr>
        <w:t xml:space="preserve">负完全责任。</w:t>
      </w:r>
      <w:r/>
    </w:p>
    <w:p>
      <w:pPr>
        <w:ind w:firstLine="482"/>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rPr>
          <w:rFonts w:hint="eastAsia" w:ascii="宋体" w:hAnsi="宋体" w:eastAsia="宋体" w:cs="宋体"/>
          <w:color w:val="auto"/>
          <w:sz w:val="24"/>
          <w:highlight w:val="none"/>
        </w:rPr>
        <w:t xml:space="preserve">成交供应商</w:t>
      </w:r>
      <w:r>
        <w:rPr>
          <w:rFonts w:hint="eastAsia" w:ascii="宋体" w:hAnsi="宋体" w:eastAsia="宋体" w:cs="宋体"/>
          <w:color w:val="auto"/>
          <w:sz w:val="24"/>
          <w:highlight w:val="none"/>
        </w:rPr>
        <w:t xml:space="preserve">负责本项目考古调查、勘探工作现场的安全保卫工作。在本项目考古调查、勘探工作期间，</w:t>
      </w:r>
      <w:r>
        <w:rPr>
          <w:rFonts w:hint="eastAsia" w:ascii="宋体" w:hAnsi="宋体" w:eastAsia="宋体" w:cs="宋体"/>
          <w:color w:val="auto"/>
          <w:sz w:val="24"/>
          <w:highlight w:val="none"/>
        </w:rPr>
        <w:t xml:space="preserve">成交供应商</w:t>
      </w:r>
      <w:r>
        <w:rPr>
          <w:rFonts w:hint="eastAsia" w:ascii="宋体" w:hAnsi="宋体" w:eastAsia="宋体" w:cs="宋体"/>
          <w:color w:val="auto"/>
          <w:sz w:val="24"/>
          <w:highlight w:val="none"/>
        </w:rPr>
        <w:t xml:space="preserve">调查、勘探发现古代遗迹、墓葬等遗存后，应立即采取有效保护措施，第一时间将所发现的古代遗存以清单形式书面通知采购人及文物部门，由采购人采取安全保卫措施。若</w:t>
      </w:r>
      <w:r>
        <w:rPr>
          <w:rFonts w:hint="eastAsia" w:ascii="宋体" w:hAnsi="宋体" w:eastAsia="宋体" w:cs="宋体"/>
          <w:color w:val="auto"/>
          <w:sz w:val="24"/>
          <w:highlight w:val="none"/>
        </w:rPr>
        <w:t xml:space="preserve">成交供应商</w:t>
      </w:r>
      <w:r>
        <w:rPr>
          <w:rFonts w:hint="eastAsia" w:ascii="宋体" w:hAnsi="宋体" w:eastAsia="宋体" w:cs="宋体"/>
          <w:color w:val="auto"/>
          <w:sz w:val="24"/>
          <w:highlight w:val="none"/>
        </w:rPr>
        <w:t xml:space="preserve">未及时通知，造成古代遗存的丢失、毁损，由</w:t>
      </w:r>
      <w:r>
        <w:rPr>
          <w:rFonts w:hint="eastAsia" w:ascii="宋体" w:hAnsi="宋体" w:eastAsia="宋体" w:cs="宋体"/>
          <w:color w:val="auto"/>
          <w:sz w:val="24"/>
          <w:highlight w:val="none"/>
        </w:rPr>
        <w:t xml:space="preserve">成交供应商</w:t>
      </w:r>
      <w:r>
        <w:rPr>
          <w:rFonts w:hint="eastAsia" w:ascii="宋体" w:hAnsi="宋体" w:eastAsia="宋体" w:cs="宋体"/>
          <w:color w:val="auto"/>
          <w:sz w:val="24"/>
          <w:highlight w:val="none"/>
        </w:rPr>
        <w:t xml:space="preserve">承担相应的民事及刑事责任。</w:t>
      </w:r>
      <w:r/>
    </w:p>
    <w:p>
      <w:pPr>
        <w:ind w:firstLine="482"/>
        <w:spacing w:line="52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五、商务要求：</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1.合同履行期限：</w:t>
      </w:r>
      <w:r>
        <w:rPr>
          <w:rFonts w:hint="eastAsia" w:ascii="宋体" w:hAnsi="宋体" w:cs="宋体"/>
          <w:color w:val="auto"/>
          <w:sz w:val="24"/>
          <w:szCs w:val="24"/>
          <w:highlight w:val="none"/>
          <w:lang w:val="en-US" w:eastAsia="zh-CN"/>
        </w:rPr>
        <w:t xml:space="preserve">自合同签订之日起2个月内完成全部工作</w:t>
      </w:r>
      <w:r>
        <w:rPr>
          <w:rFonts w:hint="eastAsia" w:ascii="宋体" w:hAnsi="宋体" w:eastAsia="宋体" w:cs="宋体"/>
          <w:color w:val="auto"/>
          <w:sz w:val="24"/>
          <w:szCs w:val="24"/>
          <w:highlight w:val="none"/>
          <w:lang w:val="en-US" w:eastAsia="zh-CN"/>
        </w:rPr>
        <w:t xml:space="preserve">。</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szCs w:val="24"/>
          <w:highlight w:val="none"/>
        </w:rPr>
        <w:t xml:space="preserve">本次</w:t>
      </w:r>
      <w:r>
        <w:rPr>
          <w:rFonts w:hint="eastAsia" w:ascii="宋体" w:hAnsi="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所报价格应包括磋商文件所确定的招标范围相应服务的提供人员（包括工资和补贴）、地下文物勘探费、勘探报告专家评审费、车旅费、住勤费、餐饮费、税金等政策性文件规定及合同包含的所有风险、责任等各项应有费用，以及为完成该项服务项目所涉及到的一切相关费用，采购人不再支付其他任何费用。</w:t>
      </w:r>
      <w:r/>
    </w:p>
    <w:p>
      <w:pPr>
        <w:ind w:firstLine="480"/>
        <w:spacing w:line="52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3.本项目</w:t>
      </w:r>
      <w:r>
        <w:rPr>
          <w:rFonts w:hint="eastAsia" w:ascii="宋体" w:hAnsi="宋体" w:eastAsia="宋体" w:cs="宋体"/>
          <w:b/>
          <w:bCs/>
          <w:color w:val="auto"/>
          <w:sz w:val="24"/>
          <w:szCs w:val="24"/>
          <w:highlight w:val="none"/>
        </w:rPr>
        <w:t xml:space="preserve">最高限价单价为</w:t>
      </w:r>
      <w:r>
        <w:rPr>
          <w:rFonts w:hint="eastAsia" w:ascii="宋体" w:hAnsi="宋体" w:eastAsia="宋体" w:cs="宋体"/>
          <w:b/>
          <w:bCs/>
          <w:color w:val="auto"/>
          <w:sz w:val="24"/>
          <w:szCs w:val="24"/>
          <w:highlight w:val="none"/>
          <w:u w:val="single"/>
        </w:rPr>
        <w:t xml:space="preserve"> </w:t>
      </w:r>
      <w:r>
        <w:rPr>
          <w:rFonts w:hint="eastAsia" w:ascii="宋体" w:hAnsi="宋体" w:cs="宋体"/>
          <w:b/>
          <w:bCs/>
          <w:color w:val="auto"/>
          <w:sz w:val="24"/>
          <w:szCs w:val="24"/>
          <w:highlight w:val="none"/>
          <w:u w:val="single"/>
          <w:lang w:val="en-US" w:eastAsia="zh-CN"/>
        </w:rPr>
        <w:t xml:space="preserve">7.8</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rPr>
        <w:t xml:space="preserve">元/㎡</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面积暂定为139000㎡</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，最高限价总价暂定为</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1</w:t>
      </w:r>
      <w:r>
        <w:rPr>
          <w:rFonts w:hint="eastAsia" w:ascii="宋体" w:hAnsi="宋体" w:cs="宋体"/>
          <w:b/>
          <w:bCs/>
          <w:color w:val="auto"/>
          <w:sz w:val="24"/>
          <w:szCs w:val="24"/>
          <w:highlight w:val="none"/>
          <w:u w:val="single"/>
          <w:lang w:val="en-US" w:eastAsia="zh-CN"/>
        </w:rPr>
        <w:t xml:space="preserve">08.42</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万元。</w:t>
      </w:r>
      <w:r>
        <w:rPr>
          <w:rFonts w:hint="eastAsia" w:ascii="宋体" w:hAnsi="宋体" w:eastAsia="宋体" w:cs="宋体"/>
          <w:color w:val="auto"/>
          <w:sz w:val="24"/>
          <w:szCs w:val="24"/>
          <w:highlight w:val="none"/>
        </w:rPr>
        <w:t xml:space="preserve">各</w:t>
      </w:r>
      <w:r>
        <w:rPr>
          <w:rFonts w:hint="eastAsia" w:ascii="宋体" w:hAnsi="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单位报价时不得高于最高限价及单价限价，否则将视为未满足磋商文件的实质性要求，作无效</w:t>
      </w:r>
      <w:r>
        <w:rPr>
          <w:rFonts w:hint="eastAsia" w:ascii="宋体" w:hAnsi="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文件。</w:t>
      </w:r>
      <w:r>
        <w:rPr>
          <w:rFonts w:hint="eastAsia" w:ascii="宋体" w:hAnsi="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lang w:val="en-US" w:eastAsia="zh-CN"/>
        </w:rPr>
        <w:t xml:space="preserve">单价=</w:t>
      </w:r>
      <w:r>
        <w:rPr>
          <w:rFonts w:hint="eastAsia" w:ascii="宋体" w:hAnsi="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lang w:val="en-US" w:eastAsia="zh-CN"/>
        </w:rPr>
        <w:t xml:space="preserve">总价/139000㎡。</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4.合同形式：固定单价合同。</w:t>
      </w:r>
      <w:r>
        <w:rPr>
          <w:rFonts w:hint="eastAsia" w:ascii="宋体" w:hAnsi="宋体" w:eastAsia="宋体" w:cs="宋体"/>
          <w:color w:val="auto"/>
          <w:sz w:val="24"/>
          <w:szCs w:val="24"/>
          <w:highlight w:val="none"/>
        </w:rPr>
        <w:t xml:space="preserve">最终结算方式：根据实际勘探面积为结算依据，以“实际勘探面积×</w:t>
      </w:r>
      <w:r>
        <w:rPr>
          <w:rFonts w:hint="eastAsia" w:ascii="宋体" w:hAnsi="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单价”予以计算；</w:t>
      </w:r>
      <w:r/>
    </w:p>
    <w:p>
      <w:pPr>
        <w:numPr>
          <w:ilvl w:val="0"/>
          <w:numId w:val="1"/>
        </w:numPr>
        <w:ind w:firstLine="480"/>
        <w:spacing w:line="5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highlight w:val="none"/>
        </w:rPr>
        <w:t xml:space="preserve">5.付款方式：</w:t>
      </w:r>
      <w:r>
        <w:rPr>
          <w:rFonts w:hint="eastAsia" w:ascii="宋体" w:hAnsi="宋体" w:cs="宋体"/>
          <w:color w:val="auto"/>
          <w:sz w:val="24"/>
          <w:szCs w:val="24"/>
          <w:highlight w:val="none"/>
          <w:lang w:val="en-US" w:eastAsia="zh-CN"/>
        </w:rPr>
        <w:t xml:space="preserve">按照时间要求，在规定的服务期限内完成全部勘探工作，</w:t>
      </w:r>
      <w:r>
        <w:rPr>
          <w:rFonts w:hint="eastAsia" w:ascii="宋体" w:hAnsi="宋体" w:eastAsia="宋体" w:cs="宋体"/>
          <w:color w:val="auto"/>
          <w:sz w:val="24"/>
          <w:szCs w:val="24"/>
          <w:highlight w:val="none"/>
          <w:u w:val="single"/>
        </w:rPr>
        <w:t xml:space="preserve">取得</w:t>
      </w:r>
      <w:r>
        <w:rPr>
          <w:rFonts w:hint="eastAsia" w:ascii="宋体" w:hAnsi="宋体" w:cs="宋体"/>
          <w:color w:val="auto"/>
          <w:sz w:val="24"/>
          <w:szCs w:val="24"/>
          <w:highlight w:val="none"/>
          <w:u w:val="single"/>
          <w:lang w:val="en-US" w:eastAsia="zh-CN"/>
        </w:rPr>
        <w:t xml:space="preserve">江苏</w:t>
      </w:r>
      <w:r>
        <w:rPr>
          <w:rFonts w:hint="eastAsia" w:ascii="宋体" w:hAnsi="宋体" w:eastAsia="宋体" w:cs="宋体"/>
          <w:color w:val="auto"/>
          <w:sz w:val="24"/>
          <w:szCs w:val="24"/>
          <w:highlight w:val="none"/>
          <w:u w:val="single"/>
        </w:rPr>
        <w:t xml:space="preserve">省</w:t>
      </w:r>
      <w:r>
        <w:rPr>
          <w:rFonts w:hint="eastAsia" w:ascii="宋体" w:hAnsi="宋体" w:eastAsia="宋体" w:cs="宋体"/>
          <w:bCs/>
          <w:color w:val="auto"/>
          <w:sz w:val="24"/>
          <w:highlight w:val="none"/>
          <w:u w:val="single"/>
        </w:rPr>
        <w:t xml:space="preserve">文物局盖章的《关于***地块文物保护工作意见》</w:t>
      </w:r>
      <w:r>
        <w:rPr>
          <w:rFonts w:hint="eastAsia" w:ascii="宋体" w:hAnsi="宋体" w:eastAsia="宋体" w:cs="宋体"/>
          <w:color w:val="auto"/>
          <w:sz w:val="24"/>
          <w:szCs w:val="24"/>
          <w:highlight w:val="none"/>
          <w:u w:val="single"/>
        </w:rPr>
        <w:t xml:space="preserve">后一次性支付。</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6.履约保证金：合同总价的</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%，合同签订前以银行转账、支票、汇票、本票或者金融机构、担保机构出具的保函、保险机构出具的保证保险等非现金形式提交甲方指定账户；项目验收合格后不计利息退还。</w:t>
      </w:r>
      <w:r/>
    </w:p>
    <w:p>
      <w:pPr>
        <w:ind w:firstLine="54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pacing w:val="15"/>
          <w:sz w:val="24"/>
          <w:szCs w:val="24"/>
          <w:highlight w:val="none"/>
        </w:rPr>
        <w:t xml:space="preserve">电子履约保函相关要求执行市财政局 国家金融监督管理总局泰州监管分局 市地方金融监督管理局转发《江苏省财政厅 国家金融监督管理总局江苏监管局 江苏省地方金融监督管理局关于在全省政府采购领域推行电子履约保函（保险）的通知》。</w:t>
      </w:r>
      <w:r/>
    </w:p>
    <w:p>
      <w:pPr>
        <w:numPr>
          <w:ilvl w:val="0"/>
          <w:numId w:val="2"/>
        </w:numPr>
        <w:ind w:firstLine="480"/>
        <w:spacing w:line="520" w:lineRule="exact"/>
        <w:tabs>
          <w:tab w:val="left" w:pos="0" w:leader="none"/>
          <w:tab w:val="clear" w:pos="312" w:leader="none"/>
          <w:tab w:val="left" w:pos="993"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签订合同后，</w:t>
      </w:r>
      <w:r>
        <w:rPr>
          <w:rFonts w:hint="eastAsia" w:ascii="宋体" w:hAnsi="宋体" w:cs="宋体"/>
          <w:color w:val="auto"/>
          <w:sz w:val="24"/>
          <w:szCs w:val="24"/>
          <w:highlight w:val="none"/>
          <w:lang w:val="en-US" w:eastAsia="zh-CN"/>
        </w:rPr>
        <w:t xml:space="preserve">成交供应商</w:t>
      </w:r>
      <w:r>
        <w:rPr>
          <w:rFonts w:hint="eastAsia" w:ascii="宋体" w:hAnsi="宋体" w:eastAsia="宋体" w:cs="宋体"/>
          <w:color w:val="auto"/>
          <w:sz w:val="24"/>
          <w:szCs w:val="24"/>
          <w:highlight w:val="none"/>
        </w:rPr>
        <w:t xml:space="preserve">不得进行转包。未经采购人同意，</w:t>
      </w:r>
      <w:r>
        <w:rPr>
          <w:rFonts w:hint="eastAsia" w:ascii="宋体" w:hAnsi="宋体" w:cs="宋体"/>
          <w:color w:val="auto"/>
          <w:sz w:val="24"/>
          <w:szCs w:val="24"/>
          <w:highlight w:val="none"/>
          <w:lang w:val="en-US" w:eastAsia="zh-CN"/>
        </w:rPr>
        <w:t xml:space="preserve">成交供应商</w:t>
      </w:r>
      <w:r>
        <w:rPr>
          <w:rFonts w:hint="eastAsia" w:ascii="宋体" w:hAnsi="宋体" w:eastAsia="宋体" w:cs="宋体"/>
          <w:color w:val="auto"/>
          <w:sz w:val="24"/>
          <w:szCs w:val="24"/>
          <w:highlight w:val="none"/>
        </w:rPr>
        <w:t xml:space="preserve">不得采用分包的形式履行合同。否则采购人有权终止合同。转包或分包造成采购人损失的，</w:t>
      </w:r>
      <w:r>
        <w:rPr>
          <w:rFonts w:hint="eastAsia" w:ascii="宋体" w:hAnsi="宋体" w:cs="宋体"/>
          <w:color w:val="auto"/>
          <w:sz w:val="24"/>
          <w:szCs w:val="24"/>
          <w:highlight w:val="none"/>
          <w:lang w:val="en-US" w:eastAsia="zh-CN"/>
        </w:rPr>
        <w:t xml:space="preserve">成交供应商</w:t>
      </w:r>
      <w:r>
        <w:rPr>
          <w:rFonts w:hint="eastAsia" w:ascii="宋体" w:hAnsi="宋体" w:eastAsia="宋体" w:cs="宋体"/>
          <w:color w:val="auto"/>
          <w:sz w:val="24"/>
          <w:szCs w:val="24"/>
          <w:highlight w:val="none"/>
        </w:rPr>
        <w:t xml:space="preserve">还应承担相应赔偿责任。</w:t>
      </w:r>
      <w:r/>
    </w:p>
    <w:p>
      <w:pPr>
        <w:pStyle w:val="921"/>
        <w:numPr>
          <w:ilvl w:val="0"/>
          <w:numId w:val="0"/>
        </w:numPr>
        <w:jc w:val="both"/>
        <w:keepLines/>
        <w:keepNext/>
        <w:spacing w:before="280" w:after="290" w:line="376" w:lineRule="auto"/>
        <w:widowControl w:val="off"/>
        <w:rPr>
          <w:rFonts w:hint="eastAsia"/>
          <w:highlight w:val="none"/>
        </w:rPr>
        <w:outlineLvl w:val="3"/>
      </w:pPr>
      <w:r>
        <w:rPr>
          <w:rFonts w:hint="eastAsia"/>
          <w:highlight w:val="none"/>
        </w:rPr>
      </w:r>
      <w:r/>
    </w:p>
    <w:p>
      <w:pPr>
        <w:rPr>
          <w:rFonts w:hint="eastAsia"/>
          <w:highlight w:val="none"/>
        </w:rPr>
      </w:pPr>
      <w:r>
        <w:rPr>
          <w:rFonts w:hint="eastAsia"/>
          <w:highlight w:val="none"/>
        </w:rPr>
      </w:r>
      <w:r/>
    </w:p>
    <w:p>
      <w:pPr>
        <w:pStyle w:val="921"/>
        <w:rPr>
          <w:rFonts w:hint="eastAsia"/>
          <w:highlight w:val="none"/>
        </w:rPr>
      </w:pPr>
      <w:r>
        <w:rPr>
          <w:rFonts w:hint="eastAsia"/>
          <w:highlight w:val="none"/>
        </w:rPr>
      </w:r>
      <w:r/>
    </w:p>
    <w:p>
      <w:pPr>
        <w:rPr>
          <w:rFonts w:hint="eastAsia"/>
          <w:highlight w:val="none"/>
        </w:rPr>
      </w:pPr>
      <w:r>
        <w:rPr>
          <w:rFonts w:hint="eastAsia"/>
          <w:highlight w:val="none"/>
        </w:rPr>
      </w:r>
      <w:r/>
    </w:p>
    <w:p>
      <w:pPr>
        <w:pStyle w:val="921"/>
        <w:rPr>
          <w:rFonts w:hint="eastAsia"/>
          <w:highlight w:val="none"/>
        </w:rPr>
      </w:pPr>
      <w:r>
        <w:rPr>
          <w:rFonts w:hint="eastAsia"/>
          <w:highlight w:val="none"/>
        </w:rPr>
      </w:r>
      <w:r/>
    </w:p>
    <w:p>
      <w:pPr>
        <w:rPr>
          <w:rFonts w:hint="eastAsia" w:ascii="宋体" w:hAnsi="宋体" w:eastAsia="宋体" w:cs="宋体"/>
          <w:color w:val="auto"/>
          <w:sz w:val="24"/>
          <w:szCs w:val="22"/>
          <w:highlight w:val="none"/>
          <w:lang w:eastAsia="zh-CN"/>
        </w:rPr>
      </w:pPr>
      <w:r>
        <w:rPr>
          <w:rFonts w:hint="eastAsia" w:ascii="宋体" w:hAnsi="宋体" w:eastAsia="宋体" w:cs="宋体"/>
          <w:color w:val="auto"/>
          <w:sz w:val="24"/>
          <w:szCs w:val="22"/>
          <w:highlight w:val="none"/>
          <w:lang w:eastAsia="zh-CN"/>
        </w:rPr>
      </w:r>
      <w:r/>
    </w:p>
    <w:p>
      <w:pPr>
        <w:jc w:val="center"/>
        <w:keepNext/>
        <w:rPr>
          <w:rFonts w:hint="eastAsia" w:ascii="宋体" w:hAnsi="宋体" w:eastAsia="宋体" w:cs="宋体"/>
          <w:color w:val="auto"/>
          <w:sz w:val="24"/>
          <w:szCs w:val="24"/>
          <w:highlight w:val="none"/>
        </w:rPr>
        <w:outlineLvl w:val="0"/>
      </w:pPr>
      <w:r>
        <w:rPr>
          <w:rFonts w:hint="eastAsia" w:ascii="宋体" w:hAnsi="宋体" w:eastAsia="宋体" w:cs="宋体"/>
          <w:color w:val="auto"/>
          <w:sz w:val="44"/>
          <w:szCs w:val="44"/>
          <w:highlight w:val="none"/>
        </w:rPr>
        <w:t xml:space="preserve">第五章 评审方法与评审标准</w:t>
      </w:r>
      <w:bookmarkEnd w:id="187"/>
      <w:r/>
      <w:bookmarkEnd w:id="188"/>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2"/>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rPr>
        <w:t xml:space="preserve">政府采购政策功能落实</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1.小微型企业价格扣除</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（1）本项目对小型企业和微型企业产品给予10%的扣除价格，用扣除后的价格参与评审。</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（2）供应商需按照采购文件的要求提供相应的《中小企业声明函》。</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（3）企业标准请参照《关于印发中小企业划型标准规定的通知》（工信部联企业[2011]300号）文件规定自行填写。</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（4）在货物采购项目中，</w:t>
      </w: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highlight w:val="none"/>
          <w:lang w:bidi="ar"/>
        </w:rPr>
        <w:t xml:space="preserve">提供的货物既有中小企业制造货物，也有大型企业制造货物的，不享受本办法规定的中小企业扶持政策。</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2.残疾人福利单位价格扣除</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（1）本项目对残疾人福利性单位视同小型、微型企业，给予10%的价格扣除，用扣除后的价格参与评审。</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（2）残疾人福利单位需按照采购文件的要求提供《残疾人福利性单位声明函》。</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（3）残疾人福利单位标准请参照《关于促进残疾人就业政府采购政策的通知》（财库〔2017〕141号）。</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3.监狱和戒毒企业价格扣除</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（1）本项目对监狱和戒毒企业（简称监狱企业）视同小型、微型企业，给予10%的价格扣除，用扣除后的价格参与评审。</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（2）监狱企业参加政府采购活动时，需提供由省级以上监狱管理局、戒毒管理局（含新疆生产建设兵团）出具的属于监狱企业的证明文件。</w:t>
      </w: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highlight w:val="none"/>
          <w:lang w:bidi="ar"/>
        </w:rPr>
        <w:t xml:space="preserve">如不提供上述证明文件，价格将不做相应扣除。</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（3）监狱企业标准请参照《关于政府采购支持监狱企业发展有关问题的通知》（财库[2014]68号）。</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4.残疾人福利单位、监狱企业属于小型、微型企业的，不重复享受政策。</w:t>
      </w:r>
      <w:r/>
    </w:p>
    <w:p>
      <w:pPr>
        <w:ind w:firstLine="480"/>
        <w:jc w:val="both"/>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highlight w:val="none"/>
          <w:lang w:bidi="ar"/>
        </w:rPr>
        <w:t xml:space="preserve">5.</w:t>
      </w:r>
      <w:r>
        <w:rPr>
          <w:rFonts w:hint="eastAsia" w:ascii="宋体" w:hAnsi="宋体" w:eastAsia="宋体" w:cs="宋体"/>
          <w:bCs/>
          <w:color w:val="auto"/>
          <w:sz w:val="24"/>
          <w:szCs w:val="24"/>
          <w:highlight w:val="none"/>
        </w:rPr>
        <w:t xml:space="preserve">本项目属于</w:t>
      </w:r>
      <w:r>
        <w:rPr>
          <w:rFonts w:hint="eastAsia" w:ascii="宋体" w:hAnsi="宋体" w:eastAsia="宋体" w:cs="宋体"/>
          <w:bCs/>
          <w:color w:val="auto"/>
          <w:sz w:val="24"/>
          <w:szCs w:val="24"/>
          <w:highlight w:val="none"/>
          <w:u w:val="single"/>
        </w:rPr>
        <w:t xml:space="preserve"> 其他未列明行业 </w:t>
      </w:r>
      <w:r>
        <w:rPr>
          <w:rFonts w:hint="eastAsia" w:ascii="宋体" w:hAnsi="宋体" w:eastAsia="宋体" w:cs="宋体"/>
          <w:bCs/>
          <w:color w:val="auto"/>
          <w:sz w:val="24"/>
          <w:szCs w:val="24"/>
          <w:highlight w:val="none"/>
        </w:rPr>
        <w:t xml:space="preserve">。</w:t>
      </w:r>
      <w:r/>
    </w:p>
    <w:p>
      <w:pPr>
        <w:ind w:firstLine="480"/>
        <w:jc w:val="both"/>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.国务院办公厅关于建立政府强制采购节能产品制度的通知--国办发[2007]51号 </w:t>
      </w:r>
      <w:r/>
    </w:p>
    <w:p>
      <w:pPr>
        <w:ind w:firstLine="480"/>
        <w:jc w:val="both"/>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.节能产品政府采购实施意见--财库[2004]185号</w:t>
      </w:r>
      <w:r/>
    </w:p>
    <w:p>
      <w:pPr>
        <w:ind w:firstLine="480"/>
        <w:jc w:val="both"/>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环境标志产品政府采购实施的意见--财库[2006]90号</w:t>
      </w:r>
      <w:r/>
    </w:p>
    <w:p>
      <w:pPr>
        <w:ind w:firstLine="480"/>
        <w:jc w:val="both"/>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审过程中，如涉及，在同等条件下优先采购具有环境标志、节能、自主创新的产品。（注：环境标志产品是指由财政部、国家环境保护总局颁布的环境标志产品政府采购清单中的有效期内的产品；节能产品是指由财政部、国家发展改革委颁布的“节能产品政府采购清单”中的有效期内的产品）</w:t>
      </w:r>
      <w:r/>
    </w:p>
    <w:p>
      <w:pPr>
        <w:ind w:firstLine="480"/>
        <w:jc w:val="both"/>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.关于促进残疾人就业政府采购政策的通知》财库[2017]141号 </w:t>
      </w:r>
      <w:r/>
    </w:p>
    <w:p>
      <w:pPr>
        <w:ind w:firstLine="480"/>
        <w:jc w:val="both"/>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根据《财政部 民政部 中国残疾人联合会关于促进残疾人就业政府采购政策的通知》（财库〔2017〕</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符合条件的残疾人福利性单位在参加政府采购活动时，应当提供本通知规定的《残疾人福利性单位声明函》（见附件），并对声明的真实性负责。中标、成交供应商为残疾人福利性单位的，采购人或者其委托的采购代理机构应当随中标、成交结果同时公告其《残疾人福利性单位声明函》，接受社会监督。供应商提供的《残疾人福利性单位声明函》与事实不符的，依照《</w:t>
      </w:r>
      <w:r>
        <w:rPr>
          <w:rFonts w:hint="eastAsia" w:ascii="宋体" w:hAnsi="宋体" w:eastAsia="宋体" w:cs="宋体"/>
          <w:color w:val="auto"/>
          <w:sz w:val="24"/>
          <w:highlight w:val="none"/>
          <w:lang w:val="en-US" w:eastAsia="zh-CN"/>
        </w:rPr>
        <w:t xml:space="preserve">中华人民共和国</w:t>
      </w:r>
      <w:r>
        <w:rPr>
          <w:rFonts w:hint="eastAsia" w:ascii="宋体" w:hAnsi="宋体" w:eastAsia="宋体" w:cs="宋体"/>
          <w:color w:val="auto"/>
          <w:sz w:val="24"/>
          <w:highlight w:val="none"/>
        </w:rPr>
        <w:t xml:space="preserve">政府采购法》第七十七条第一款的规定追究法律责任。</w:t>
      </w:r>
      <w:r/>
    </w:p>
    <w:p>
      <w:pPr>
        <w:ind w:firstLine="480"/>
        <w:jc w:val="both"/>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.根据《商品包装政府采购需求标准（试行）》、《快递包装政府采购需求标准（试行）》的通知（财办库[2020]123号</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要求，商品使用的塑料、纸质、木材等包装需达到环保要求。</w:t>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2"/>
        <w:jc w:val="left"/>
        <w:keepLines w:val="0"/>
        <w:keepNext w:val="0"/>
        <w:pageBreakBefore w:val="0"/>
        <w:spacing w:before="120" w:after="120" w:line="0" w:lineRule="atLeas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评审方法与评审标准：</w:t>
      </w:r>
      <w:r/>
    </w:p>
    <w:tbl>
      <w:tblPr>
        <w:tblStyle w:val="923"/>
        <w:tblpPr w:horzAnchor="page" w:tblpX="1000" w:vertAnchor="text" w:tblpY="304" w:leftFromText="180" w:topFromText="0" w:rightFromText="180" w:bottomFromText="0"/>
        <w:tblW w:w="100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5"/>
        <w:gridCol w:w="1547"/>
        <w:gridCol w:w="795"/>
        <w:gridCol w:w="6953"/>
      </w:tblGrid>
      <w:tr>
        <w:trPr>
          <w:cantSplit/>
          <w:trHeight w:val="870"/>
        </w:trPr>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评审</w:t>
            </w:r>
            <w:r/>
          </w:p>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项目</w:t>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分值</w:t>
            </w:r>
            <w:r/>
          </w:p>
        </w:tc>
        <w:tc>
          <w:tcPr>
            <w:tcBorders>
              <w:top w:val="single" w:color="auto" w:sz="4" w:space="0"/>
              <w:left w:val="single" w:color="auto" w:sz="4" w:space="0"/>
              <w:bottom w:val="single" w:color="auto" w:sz="4" w:space="0"/>
              <w:right w:val="single" w:color="auto" w:sz="4" w:space="0"/>
            </w:tcBorders>
            <w:tcW w:w="6953" w:type="dxa"/>
            <w:vAlign w:val="center"/>
            <w:textDirection w:val="lrTb"/>
            <w:noWrap w:val="false"/>
          </w:tcPr>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评审细则</w:t>
            </w:r>
            <w:r/>
          </w:p>
        </w:tc>
      </w:tr>
      <w:tr>
        <w:trPr>
          <w:cantSplit/>
          <w:trHeight w:val="1101"/>
        </w:trPr>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价格</w:t>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rPr>
                <w:rFonts w:hint="default" w:ascii="Times New Roman" w:hAnsi="Times New Roman" w:eastAsia="宋体" w:cs="Times New Roman"/>
                <w:color w:val="auto"/>
                <w:sz w:val="21"/>
                <w:szCs w:val="21"/>
                <w:highlight w:val="none"/>
              </w:rPr>
            </w:pPr>
            <w:r>
              <w:rPr>
                <w:rFonts w:hint="default" w:ascii="Times New Roman" w:hAnsi="Times New Roman" w:cs="Times New Roman"/>
                <w:color w:val="auto"/>
                <w:sz w:val="21"/>
                <w:szCs w:val="21"/>
                <w:highlight w:val="none"/>
                <w:lang w:val="en-US" w:eastAsia="zh-CN"/>
              </w:rPr>
              <w:t xml:space="preserve">20</w:t>
            </w:r>
            <w:r>
              <w:rPr>
                <w:rFonts w:hint="default" w:ascii="Times New Roman" w:hAnsi="Times New Roman" w:eastAsia="宋体" w:cs="Times New Roman"/>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6953" w:type="dxa"/>
            <w:vAlign w:val="center"/>
            <w:textDirection w:val="lrTb"/>
            <w:noWrap w:val="false"/>
          </w:tcPr>
          <w:p>
            <w:pPr>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采用低价优先法计算，即满足</w:t>
            </w:r>
            <w:r>
              <w:rPr>
                <w:rFonts w:hint="default" w:ascii="Times New Roman" w:hAnsi="Times New Roman" w:eastAsia="宋体" w:cs="Times New Roman"/>
                <w:color w:val="auto"/>
                <w:sz w:val="21"/>
                <w:szCs w:val="21"/>
                <w:highlight w:val="none"/>
                <w:lang w:val="en-US" w:eastAsia="zh-CN"/>
              </w:rPr>
              <w:t xml:space="preserve">磋商</w:t>
            </w:r>
            <w:r>
              <w:rPr>
                <w:rFonts w:hint="default" w:ascii="Times New Roman" w:hAnsi="Times New Roman" w:eastAsia="宋体" w:cs="Times New Roman"/>
                <w:color w:val="auto"/>
                <w:sz w:val="21"/>
                <w:szCs w:val="21"/>
                <w:highlight w:val="none"/>
              </w:rPr>
              <w:t xml:space="preserve">文件要求且</w:t>
            </w:r>
            <w:r>
              <w:rPr>
                <w:rFonts w:hint="eastAsia" w:ascii="Times New Roman" w:hAnsi="Times New Roman" w:cs="Times New Roman"/>
                <w:color w:val="auto"/>
                <w:sz w:val="21"/>
                <w:szCs w:val="21"/>
                <w:highlight w:val="none"/>
                <w:lang w:val="en-US" w:eastAsia="zh-CN"/>
              </w:rPr>
              <w:t xml:space="preserve">响应</w:t>
            </w:r>
            <w:r>
              <w:rPr>
                <w:rFonts w:hint="default" w:ascii="Times New Roman" w:hAnsi="Times New Roman" w:eastAsia="宋体" w:cs="Times New Roman"/>
                <w:color w:val="auto"/>
                <w:sz w:val="21"/>
                <w:szCs w:val="21"/>
                <w:highlight w:val="none"/>
              </w:rPr>
              <w:t xml:space="preserve">价格最低的</w:t>
            </w:r>
            <w:r>
              <w:rPr>
                <w:rFonts w:hint="eastAsia" w:ascii="Times New Roman" w:hAnsi="Times New Roman" w:cs="Times New Roman"/>
                <w:color w:val="auto"/>
                <w:sz w:val="21"/>
                <w:szCs w:val="21"/>
                <w:highlight w:val="none"/>
                <w:lang w:val="en-US" w:eastAsia="zh-CN"/>
              </w:rPr>
              <w:t xml:space="preserve">响应</w:t>
            </w:r>
            <w:r>
              <w:rPr>
                <w:rFonts w:hint="default" w:ascii="Times New Roman" w:hAnsi="Times New Roman" w:eastAsia="宋体" w:cs="Times New Roman"/>
                <w:color w:val="auto"/>
                <w:sz w:val="21"/>
                <w:szCs w:val="21"/>
                <w:highlight w:val="none"/>
              </w:rPr>
              <w:t xml:space="preserve">报价为评标基准价，其价格分为满分。其他</w:t>
            </w:r>
            <w:r>
              <w:rPr>
                <w:rFonts w:hint="eastAsia" w:ascii="Times New Roman" w:hAnsi="Times New Roman" w:cs="Times New Roman"/>
                <w:color w:val="auto"/>
                <w:sz w:val="21"/>
                <w:szCs w:val="21"/>
                <w:highlight w:val="none"/>
                <w:lang w:val="en-US" w:eastAsia="zh-CN"/>
              </w:rPr>
              <w:t xml:space="preserve">供应商</w:t>
            </w:r>
            <w:r>
              <w:rPr>
                <w:rFonts w:hint="default" w:ascii="Times New Roman" w:hAnsi="Times New Roman" w:eastAsia="宋体" w:cs="Times New Roman"/>
                <w:color w:val="auto"/>
                <w:sz w:val="21"/>
                <w:szCs w:val="21"/>
                <w:highlight w:val="none"/>
              </w:rPr>
              <w:t xml:space="preserve">的价</w:t>
            </w:r>
            <w:r>
              <w:rPr>
                <w:rFonts w:hint="default" w:ascii="Times New Roman" w:hAnsi="Times New Roman" w:eastAsia="宋体" w:cs="Times New Roman"/>
                <w:color w:val="auto"/>
                <w:sz w:val="21"/>
                <w:szCs w:val="21"/>
                <w:highlight w:val="none"/>
                <w:lang w:eastAsia="zh-CN"/>
              </w:rPr>
              <w:t xml:space="preserve">格部</w:t>
            </w:r>
            <w:r>
              <w:rPr>
                <w:rFonts w:hint="default" w:ascii="Times New Roman" w:hAnsi="Times New Roman" w:eastAsia="宋体" w:cs="Times New Roman"/>
                <w:color w:val="auto"/>
                <w:sz w:val="21"/>
                <w:szCs w:val="21"/>
                <w:highlight w:val="none"/>
              </w:rPr>
              <w:t xml:space="preserve">分统一按照下列公式计算：</w:t>
            </w:r>
            <w:r>
              <w:rPr>
                <w:rFonts w:hint="eastAsia" w:ascii="Times New Roman" w:hAnsi="Times New Roman" w:cs="Times New Roman"/>
                <w:color w:val="auto"/>
                <w:sz w:val="21"/>
                <w:szCs w:val="21"/>
                <w:highlight w:val="none"/>
                <w:lang w:val="en-US" w:eastAsia="zh-CN"/>
              </w:rPr>
              <w:t xml:space="preserve">响应</w:t>
            </w:r>
            <w:r>
              <w:rPr>
                <w:rFonts w:hint="default" w:ascii="Times New Roman" w:hAnsi="Times New Roman" w:eastAsia="宋体" w:cs="Times New Roman"/>
                <w:color w:val="auto"/>
                <w:sz w:val="21"/>
                <w:szCs w:val="21"/>
                <w:highlight w:val="none"/>
              </w:rPr>
              <w:t xml:space="preserve">报价得分=</w:t>
            </w:r>
            <w:r>
              <w:rPr>
                <w:rFonts w:hint="default" w:ascii="Times New Roman" w:hAnsi="Times New Roman" w:cs="Times New Roman"/>
                <w:color w:val="auto"/>
                <w:sz w:val="21"/>
                <w:szCs w:val="21"/>
                <w:highlight w:val="none"/>
                <w:lang w:eastAsia="zh-CN"/>
              </w:rPr>
              <w:t xml:space="preserve">（</w:t>
            </w:r>
            <w:r>
              <w:rPr>
                <w:rFonts w:hint="eastAsia" w:ascii="Times New Roman" w:hAnsi="Times New Roman" w:cs="Times New Roman"/>
                <w:color w:val="auto"/>
                <w:sz w:val="21"/>
                <w:szCs w:val="21"/>
                <w:highlight w:val="none"/>
                <w:lang w:val="en-US" w:eastAsia="zh-CN"/>
              </w:rPr>
              <w:t xml:space="preserve">响应</w:t>
            </w:r>
            <w:r>
              <w:rPr>
                <w:rFonts w:hint="default" w:ascii="Times New Roman" w:hAnsi="Times New Roman" w:eastAsia="宋体" w:cs="Times New Roman"/>
                <w:color w:val="auto"/>
                <w:sz w:val="21"/>
                <w:szCs w:val="21"/>
                <w:highlight w:val="none"/>
              </w:rPr>
              <w:t xml:space="preserve">基准价／</w:t>
            </w:r>
            <w:r>
              <w:rPr>
                <w:rFonts w:hint="eastAsia" w:ascii="Times New Roman" w:hAnsi="Times New Roman" w:cs="Times New Roman"/>
                <w:color w:val="auto"/>
                <w:sz w:val="21"/>
                <w:szCs w:val="21"/>
                <w:highlight w:val="none"/>
                <w:lang w:val="en-US" w:eastAsia="zh-CN"/>
              </w:rPr>
              <w:t xml:space="preserve">响应</w:t>
            </w:r>
            <w:r>
              <w:rPr>
                <w:rFonts w:hint="default" w:ascii="Times New Roman" w:hAnsi="Times New Roman" w:eastAsia="宋体" w:cs="Times New Roman"/>
                <w:color w:val="auto"/>
                <w:sz w:val="21"/>
                <w:szCs w:val="21"/>
                <w:highlight w:val="none"/>
              </w:rPr>
              <w:t xml:space="preserve">报价</w:t>
            </w:r>
            <w:r>
              <w:rPr>
                <w:rFonts w:hint="default" w:ascii="Times New Roman" w:hAnsi="Times New Roman" w:cs="Times New Roman"/>
                <w:color w:val="auto"/>
                <w:sz w:val="21"/>
                <w:szCs w:val="21"/>
                <w:highlight w:val="none"/>
                <w:lang w:eastAsia="zh-CN"/>
              </w:rPr>
              <w:t xml:space="preserve">）</w:t>
            </w:r>
            <w:r>
              <w:rPr>
                <w:rFonts w:hint="default" w:ascii="Times New Roman" w:hAnsi="Times New Roman" w:eastAsia="宋体" w:cs="Times New Roman"/>
                <w:color w:val="auto"/>
                <w:sz w:val="21"/>
                <w:szCs w:val="21"/>
                <w:highlight w:val="none"/>
              </w:rPr>
              <w:t xml:space="preserve">×</w:t>
            </w:r>
            <w:r>
              <w:rPr>
                <w:rFonts w:hint="default" w:ascii="Times New Roman" w:hAnsi="Times New Roman" w:cs="Times New Roman"/>
                <w:color w:val="auto"/>
                <w:sz w:val="21"/>
                <w:szCs w:val="21"/>
                <w:highlight w:val="none"/>
                <w:lang w:val="en-US" w:eastAsia="zh-CN"/>
              </w:rPr>
              <w:t xml:space="preserve">20</w:t>
            </w:r>
            <w:r>
              <w:rPr>
                <w:rFonts w:hint="default" w:ascii="Times New Roman" w:hAnsi="Times New Roman" w:eastAsia="宋体" w:cs="Times New Roman"/>
                <w:color w:val="auto"/>
                <w:sz w:val="21"/>
                <w:szCs w:val="21"/>
                <w:highlight w:val="none"/>
              </w:rPr>
              <w:t xml:space="preserve">%×100。</w:t>
            </w:r>
            <w:r/>
          </w:p>
        </w:tc>
      </w:tr>
      <w:tr>
        <w:trPr>
          <w:cantSplit/>
          <w:trHeight w:val="2108"/>
        </w:trPr>
        <w:tc>
          <w:tcPr>
            <w:tcBorders>
              <w:top w:val="single" w:color="auto" w:sz="4" w:space="0"/>
              <w:left w:val="single" w:color="auto" w:sz="4" w:space="0"/>
              <w:right w:val="single" w:color="auto" w:sz="4" w:space="0"/>
            </w:tcBorders>
            <w:tcW w:w="785" w:type="dxa"/>
            <w:vAlign w:val="center"/>
            <w:textDirection w:val="lrTb"/>
            <w:noWrap w:val="false"/>
          </w:tcPr>
          <w:p>
            <w:pPr>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val="en-US" w:eastAsia="zh-CN"/>
              </w:rPr>
              <w:t xml:space="preserve">2</w:t>
            </w:r>
            <w:r/>
          </w:p>
        </w:tc>
        <w:tc>
          <w:tcPr>
            <w:tcBorders>
              <w:top w:val="single" w:color="auto" w:sz="4" w:space="0"/>
              <w:left w:val="single" w:color="auto" w:sz="4" w:space="0"/>
              <w:right w:val="single" w:color="auto" w:sz="4" w:space="0"/>
            </w:tcBorders>
            <w:tcW w:w="1547" w:type="dxa"/>
            <w:vAlign w:val="center"/>
            <w:textDirection w:val="lrTb"/>
            <w:noWrap w:val="false"/>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业绩</w:t>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widowControl/>
              <w:rPr>
                <w:rFonts w:hint="default" w:ascii="Times New Roman" w:hAnsi="Times New Roman" w:eastAsia="宋体" w:cs="Times New Roman"/>
                <w:color w:val="auto"/>
                <w:sz w:val="21"/>
                <w:szCs w:val="21"/>
                <w:highlight w:val="none"/>
              </w:rPr>
            </w:pPr>
            <w:r>
              <w:rPr>
                <w:rFonts w:hint="default" w:ascii="Times New Roman" w:hAnsi="Times New Roman" w:cs="Times New Roman"/>
                <w:color w:val="auto"/>
                <w:sz w:val="21"/>
                <w:szCs w:val="21"/>
                <w:highlight w:val="none"/>
                <w:lang w:val="en-US" w:eastAsia="zh-CN"/>
              </w:rPr>
              <w:t xml:space="preserve">12</w:t>
            </w:r>
            <w:r>
              <w:rPr>
                <w:rFonts w:hint="default" w:ascii="Times New Roman" w:hAnsi="Times New Roman" w:eastAsia="宋体" w:cs="Times New Roman"/>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6953" w:type="dxa"/>
            <w:vAlign w:val="center"/>
            <w:textDirection w:val="lrTb"/>
            <w:noWrap w:val="false"/>
          </w:tcPr>
          <w:p>
            <w:pPr>
              <w:jc w:val="left"/>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1.供应商自202</w:t>
            </w:r>
            <w:r>
              <w:rPr>
                <w:rFonts w:hint="default" w:ascii="Times New Roman" w:hAnsi="Times New Roman" w:cs="Times New Roman"/>
                <w:color w:val="auto"/>
                <w:sz w:val="21"/>
                <w:szCs w:val="21"/>
                <w:highlight w:val="none"/>
                <w:lang w:val="en-US" w:eastAsia="zh-CN"/>
              </w:rPr>
              <w:t xml:space="preserve">2</w:t>
            </w:r>
            <w:r>
              <w:rPr>
                <w:rFonts w:hint="default" w:ascii="Times New Roman" w:hAnsi="Times New Roman" w:eastAsia="宋体" w:cs="Times New Roman"/>
                <w:color w:val="auto"/>
                <w:sz w:val="21"/>
                <w:szCs w:val="21"/>
                <w:highlight w:val="none"/>
                <w:lang w:val="en-US" w:eastAsia="zh-CN"/>
              </w:rPr>
              <w:t xml:space="preserve">年1月1日以来</w:t>
            </w:r>
            <w:r>
              <w:rPr>
                <w:rFonts w:hint="default" w:ascii="Times New Roman" w:hAnsi="Times New Roman" w:cs="Times New Roman"/>
                <w:color w:val="auto"/>
                <w:sz w:val="21"/>
                <w:szCs w:val="21"/>
                <w:highlight w:val="none"/>
                <w:lang w:val="en-US" w:eastAsia="zh-CN"/>
              </w:rPr>
              <w:t xml:space="preserve">（以合同签订时间为准）</w:t>
            </w:r>
            <w:r>
              <w:rPr>
                <w:rFonts w:hint="default" w:ascii="Times New Roman" w:hAnsi="Times New Roman" w:eastAsia="宋体" w:cs="Times New Roman"/>
                <w:color w:val="auto"/>
                <w:sz w:val="21"/>
                <w:szCs w:val="21"/>
                <w:highlight w:val="none"/>
                <w:lang w:val="en-US" w:eastAsia="zh-CN"/>
              </w:rPr>
              <w:t xml:space="preserve">完成过类似考古勘查项目业绩，每提供1个得</w:t>
            </w:r>
            <w:r>
              <w:rPr>
                <w:rFonts w:hint="default" w:ascii="Times New Roman" w:hAnsi="Times New Roman" w:cs="Times New Roman"/>
                <w:color w:val="auto"/>
                <w:sz w:val="21"/>
                <w:szCs w:val="21"/>
                <w:highlight w:val="none"/>
                <w:lang w:val="en-US" w:eastAsia="zh-CN"/>
              </w:rPr>
              <w:t xml:space="preserve">2</w:t>
            </w:r>
            <w:r>
              <w:rPr>
                <w:rFonts w:hint="default" w:ascii="Times New Roman" w:hAnsi="Times New Roman" w:eastAsia="宋体" w:cs="Times New Roman"/>
                <w:color w:val="auto"/>
                <w:sz w:val="21"/>
                <w:szCs w:val="21"/>
                <w:highlight w:val="none"/>
                <w:lang w:val="en-US" w:eastAsia="zh-CN"/>
              </w:rPr>
              <w:t xml:space="preserve">分，最高得</w:t>
            </w:r>
            <w:r>
              <w:rPr>
                <w:rFonts w:hint="default" w:ascii="Times New Roman" w:hAnsi="Times New Roman" w:cs="Times New Roman"/>
                <w:color w:val="auto"/>
                <w:sz w:val="21"/>
                <w:szCs w:val="21"/>
                <w:highlight w:val="none"/>
                <w:lang w:val="en-US" w:eastAsia="zh-CN"/>
              </w:rPr>
              <w:t xml:space="preserve">6</w:t>
            </w:r>
            <w:r>
              <w:rPr>
                <w:rFonts w:hint="default" w:ascii="Times New Roman" w:hAnsi="Times New Roman" w:eastAsia="宋体" w:cs="Times New Roman"/>
                <w:color w:val="auto"/>
                <w:sz w:val="21"/>
                <w:szCs w:val="21"/>
                <w:highlight w:val="none"/>
                <w:lang w:val="en-US" w:eastAsia="zh-CN"/>
              </w:rPr>
              <w:t xml:space="preserve">分；</w:t>
            </w:r>
            <w:r/>
          </w:p>
          <w:p>
            <w:pPr>
              <w:jc w:val="left"/>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2.拟派本项目的项目负责人自202</w:t>
            </w:r>
            <w:r>
              <w:rPr>
                <w:rFonts w:hint="default" w:ascii="Times New Roman" w:hAnsi="Times New Roman" w:cs="Times New Roman"/>
                <w:color w:val="auto"/>
                <w:sz w:val="21"/>
                <w:szCs w:val="21"/>
                <w:highlight w:val="none"/>
                <w:lang w:val="en-US" w:eastAsia="zh-CN"/>
              </w:rPr>
              <w:t xml:space="preserve">2</w:t>
            </w:r>
            <w:r>
              <w:rPr>
                <w:rFonts w:hint="default" w:ascii="Times New Roman" w:hAnsi="Times New Roman" w:eastAsia="宋体" w:cs="Times New Roman"/>
                <w:color w:val="auto"/>
                <w:sz w:val="21"/>
                <w:szCs w:val="21"/>
                <w:highlight w:val="none"/>
                <w:lang w:val="en-US" w:eastAsia="zh-CN"/>
              </w:rPr>
              <w:t xml:space="preserve">年1月1日以来</w:t>
            </w:r>
            <w:r>
              <w:rPr>
                <w:rFonts w:hint="default" w:ascii="Times New Roman" w:hAnsi="Times New Roman" w:cs="Times New Roman"/>
                <w:color w:val="auto"/>
                <w:sz w:val="21"/>
                <w:szCs w:val="21"/>
                <w:highlight w:val="none"/>
                <w:lang w:val="en-US" w:eastAsia="zh-CN"/>
              </w:rPr>
              <w:t xml:space="preserve">（以合同签订时间为准）</w:t>
            </w:r>
            <w:r>
              <w:rPr>
                <w:rFonts w:hint="default" w:ascii="Times New Roman" w:hAnsi="Times New Roman" w:eastAsia="宋体" w:cs="Times New Roman"/>
                <w:color w:val="auto"/>
                <w:sz w:val="21"/>
                <w:szCs w:val="21"/>
                <w:highlight w:val="none"/>
                <w:lang w:val="en-US" w:eastAsia="zh-CN"/>
              </w:rPr>
              <w:t xml:space="preserve">以项目负责人身份完成过类似考古勘查项目业绩，每提供1个得</w:t>
            </w:r>
            <w:r>
              <w:rPr>
                <w:rFonts w:hint="default" w:ascii="Times New Roman" w:hAnsi="Times New Roman" w:cs="Times New Roman"/>
                <w:color w:val="auto"/>
                <w:sz w:val="21"/>
                <w:szCs w:val="21"/>
                <w:highlight w:val="none"/>
                <w:lang w:val="en-US" w:eastAsia="zh-CN"/>
              </w:rPr>
              <w:t xml:space="preserve">2</w:t>
            </w:r>
            <w:r>
              <w:rPr>
                <w:rFonts w:hint="default" w:ascii="Times New Roman" w:hAnsi="Times New Roman" w:eastAsia="宋体" w:cs="Times New Roman"/>
                <w:color w:val="auto"/>
                <w:sz w:val="21"/>
                <w:szCs w:val="21"/>
                <w:highlight w:val="none"/>
                <w:lang w:val="en-US" w:eastAsia="zh-CN"/>
              </w:rPr>
              <w:t xml:space="preserve">分，最高得</w:t>
            </w:r>
            <w:r>
              <w:rPr>
                <w:rFonts w:hint="default" w:ascii="Times New Roman" w:hAnsi="Times New Roman" w:cs="Times New Roman"/>
                <w:color w:val="auto"/>
                <w:sz w:val="21"/>
                <w:szCs w:val="21"/>
                <w:highlight w:val="none"/>
                <w:lang w:val="en-US" w:eastAsia="zh-CN"/>
              </w:rPr>
              <w:t xml:space="preserve">6</w:t>
            </w:r>
            <w:r>
              <w:rPr>
                <w:rFonts w:hint="default" w:ascii="Times New Roman" w:hAnsi="Times New Roman" w:eastAsia="宋体" w:cs="Times New Roman"/>
                <w:color w:val="auto"/>
                <w:sz w:val="21"/>
                <w:szCs w:val="21"/>
                <w:highlight w:val="none"/>
                <w:lang w:val="en-US" w:eastAsia="zh-CN"/>
              </w:rPr>
              <w:t xml:space="preserve">分。</w:t>
            </w:r>
            <w:r/>
          </w:p>
          <w:p>
            <w:pPr>
              <w:jc w:val="left"/>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注：</w:t>
            </w:r>
            <w:r>
              <w:rPr>
                <w:rFonts w:hint="default" w:ascii="Times New Roman" w:hAnsi="Times New Roman" w:cs="Times New Roman"/>
                <w:color w:val="auto"/>
                <w:sz w:val="21"/>
                <w:szCs w:val="21"/>
                <w:highlight w:val="none"/>
                <w:shd w:val="clear" w:color="auto"/>
                <w:lang w:val="en-US" w:eastAsia="zh-CN"/>
              </w:rPr>
              <w:t xml:space="preserve">【两项业绩可重复计分】</w:t>
            </w:r>
            <w:r>
              <w:rPr>
                <w:rFonts w:hint="default" w:ascii="Times New Roman" w:hAnsi="Times New Roman" w:eastAsia="宋体" w:cs="Times New Roman"/>
                <w:color w:val="auto"/>
                <w:sz w:val="21"/>
                <w:szCs w:val="21"/>
                <w:highlight w:val="none"/>
                <w:lang w:val="en-US" w:eastAsia="zh-CN"/>
              </w:rPr>
              <w:t xml:space="preserve">提供</w:t>
            </w:r>
            <w:r>
              <w:rPr>
                <w:rFonts w:hint="default" w:ascii="Times New Roman" w:hAnsi="Times New Roman" w:cs="Times New Roman"/>
                <w:color w:val="auto"/>
                <w:sz w:val="21"/>
                <w:szCs w:val="21"/>
                <w:highlight w:val="none"/>
                <w:lang w:val="en-US" w:eastAsia="zh-CN"/>
              </w:rPr>
              <w:t xml:space="preserve">中标通知书（成交通知书）、</w:t>
            </w:r>
            <w:r>
              <w:rPr>
                <w:rFonts w:hint="default" w:ascii="Times New Roman" w:hAnsi="Times New Roman" w:eastAsia="宋体" w:cs="Times New Roman"/>
                <w:color w:val="auto"/>
                <w:sz w:val="21"/>
                <w:szCs w:val="21"/>
                <w:highlight w:val="none"/>
                <w:lang w:val="en-US" w:eastAsia="zh-CN"/>
              </w:rPr>
              <w:t xml:space="preserve">合同</w:t>
            </w:r>
            <w:r>
              <w:rPr>
                <w:rFonts w:hint="default" w:ascii="Times New Roman" w:hAnsi="Times New Roman" w:cs="Times New Roman"/>
                <w:color w:val="auto"/>
                <w:sz w:val="21"/>
                <w:szCs w:val="21"/>
                <w:highlight w:val="none"/>
                <w:lang w:val="en-US" w:eastAsia="zh-CN"/>
              </w:rPr>
              <w:t xml:space="preserve">及相关验收证明文件</w:t>
            </w:r>
            <w:r>
              <w:rPr>
                <w:rFonts w:hint="default" w:ascii="Times New Roman" w:hAnsi="Times New Roman" w:eastAsia="宋体" w:cs="Times New Roman"/>
                <w:color w:val="auto"/>
                <w:sz w:val="21"/>
                <w:szCs w:val="21"/>
                <w:highlight w:val="none"/>
                <w:lang w:val="en-US" w:eastAsia="zh-CN"/>
              </w:rPr>
              <w:t xml:space="preserve">扫描上传作为得分依据。</w:t>
            </w:r>
            <w:r/>
          </w:p>
        </w:tc>
      </w:tr>
      <w:tr>
        <w:trPr>
          <w:cantSplit/>
          <w:trHeight w:val="1878"/>
        </w:trPr>
        <w:tc>
          <w:tcPr>
            <w:tcBorders>
              <w:top w:val="single" w:color="auto" w:sz="4" w:space="0"/>
              <w:left w:val="single" w:color="auto" w:sz="4" w:space="0"/>
              <w:right w:val="single" w:color="auto" w:sz="4" w:space="0"/>
            </w:tcBorders>
            <w:tcW w:w="785" w:type="dxa"/>
            <w:vAlign w:val="center"/>
            <w:textDirection w:val="lrTb"/>
            <w:noWrap w:val="false"/>
          </w:tcPr>
          <w:p>
            <w:pPr>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 xml:space="preserve">3</w:t>
            </w:r>
            <w:r/>
          </w:p>
        </w:tc>
        <w:tc>
          <w:tcPr>
            <w:tcBorders>
              <w:top w:val="single" w:color="auto" w:sz="4" w:space="0"/>
              <w:left w:val="single" w:color="auto" w:sz="4" w:space="0"/>
              <w:right w:val="single" w:color="auto" w:sz="4" w:space="0"/>
            </w:tcBorders>
            <w:tcW w:w="1547" w:type="dxa"/>
            <w:vAlign w:val="center"/>
            <w:textDirection w:val="lrTb"/>
            <w:noWrap w:val="false"/>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 xml:space="preserve">项目负责人</w:t>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widowControl/>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 xml:space="preserve">4分</w:t>
            </w:r>
            <w:r/>
          </w:p>
        </w:tc>
        <w:tc>
          <w:tcPr>
            <w:tcBorders>
              <w:top w:val="single" w:color="auto" w:sz="4" w:space="0"/>
              <w:left w:val="single" w:color="auto" w:sz="4" w:space="0"/>
              <w:bottom w:val="single" w:color="auto" w:sz="4" w:space="0"/>
              <w:right w:val="single" w:color="auto" w:sz="4" w:space="0"/>
            </w:tcBorders>
            <w:tcW w:w="6953" w:type="dxa"/>
            <w:vAlign w:val="center"/>
            <w:textDirection w:val="lrTb"/>
            <w:noWrap w:val="false"/>
          </w:tcPr>
          <w:p>
            <w:pPr>
              <w:jc w:val="left"/>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拟派于本项目的项目负责人具备全国考古发掘项目负责人培训（或领队）证书的得2分，具备文物博物类相关专业高级及以上技术职称的得2分，本项最高得4分。</w:t>
            </w:r>
            <w:r/>
          </w:p>
          <w:p>
            <w:pPr>
              <w:jc w:val="left"/>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r>
            <w:r/>
          </w:p>
          <w:p>
            <w:pPr>
              <w:jc w:val="left"/>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注：提供人员</w:t>
            </w:r>
            <w:r>
              <w:rPr>
                <w:rFonts w:hint="default" w:ascii="Times New Roman" w:hAnsi="Times New Roman" w:cs="Times New Roman"/>
                <w:color w:val="auto"/>
                <w:sz w:val="21"/>
                <w:szCs w:val="21"/>
                <w:highlight w:val="none"/>
                <w:lang w:val="en-US" w:eastAsia="zh-CN"/>
              </w:rPr>
              <w:t xml:space="preserve">相关</w:t>
            </w:r>
            <w:r>
              <w:rPr>
                <w:rFonts w:hint="default" w:ascii="Times New Roman" w:hAnsi="Times New Roman" w:eastAsia="宋体" w:cs="Times New Roman"/>
                <w:color w:val="auto"/>
                <w:sz w:val="21"/>
                <w:szCs w:val="21"/>
                <w:highlight w:val="none"/>
                <w:lang w:val="en-US" w:eastAsia="zh-CN"/>
              </w:rPr>
              <w:t xml:space="preserve">证书及供应商为其缴纳的投标截止时间前三个月（不含投标当月）内任意一个月的社保证明扫描上传作为得分依据。</w:t>
            </w:r>
            <w:r/>
          </w:p>
        </w:tc>
      </w:tr>
      <w:tr>
        <w:trPr>
          <w:cantSplit/>
          <w:trHeight w:val="1805"/>
        </w:trPr>
        <w:tc>
          <w:tcPr>
            <w:tcBorders>
              <w:top w:val="single" w:color="auto" w:sz="4" w:space="0"/>
              <w:left w:val="single" w:color="auto" w:sz="4" w:space="0"/>
              <w:right w:val="single" w:color="auto" w:sz="4" w:space="0"/>
            </w:tcBorders>
            <w:tcW w:w="785" w:type="dxa"/>
            <w:vAlign w:val="center"/>
            <w:textDirection w:val="lrTb"/>
            <w:noWrap w:val="false"/>
          </w:tcPr>
          <w:p>
            <w:pPr>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 xml:space="preserve">4</w:t>
            </w:r>
            <w:r/>
          </w:p>
        </w:tc>
        <w:tc>
          <w:tcPr>
            <w:tcBorders>
              <w:top w:val="single" w:color="auto" w:sz="4" w:space="0"/>
              <w:left w:val="single" w:color="auto" w:sz="4" w:space="0"/>
              <w:right w:val="single" w:color="auto" w:sz="4" w:space="0"/>
            </w:tcBorders>
            <w:tcW w:w="1547" w:type="dxa"/>
            <w:vAlign w:val="center"/>
            <w:textDirection w:val="lrTb"/>
            <w:noWrap w:val="false"/>
          </w:tcPr>
          <w:p>
            <w:pPr>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技术负责人</w:t>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widowControl/>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 xml:space="preserve">4分</w:t>
            </w:r>
            <w:r/>
          </w:p>
        </w:tc>
        <w:tc>
          <w:tcPr>
            <w:tcBorders>
              <w:top w:val="single" w:color="auto" w:sz="4" w:space="0"/>
              <w:left w:val="single" w:color="auto" w:sz="4" w:space="0"/>
              <w:bottom w:val="single" w:color="auto" w:sz="4" w:space="0"/>
              <w:right w:val="single" w:color="auto" w:sz="4" w:space="0"/>
            </w:tcBorders>
            <w:tcW w:w="6953" w:type="dxa"/>
            <w:vAlign w:val="center"/>
            <w:textDirection w:val="lrTb"/>
            <w:noWrap w:val="false"/>
          </w:tcPr>
          <w:p>
            <w:pPr>
              <w:jc w:val="left"/>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拟派于本项目的技术负责人（与项目负责人不得为同一人）具备全国考古发掘项目负责人培训（或领队）证书的得2分，具备文物博物类相关专业高级及以上技术职称的得2分，本项最高得4分。</w:t>
            </w:r>
            <w:r/>
          </w:p>
          <w:p>
            <w:pPr>
              <w:jc w:val="left"/>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r>
            <w:r/>
          </w:p>
          <w:p>
            <w:pPr>
              <w:jc w:val="left"/>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注：提供人员</w:t>
            </w:r>
            <w:r>
              <w:rPr>
                <w:rFonts w:hint="default" w:ascii="Times New Roman" w:hAnsi="Times New Roman" w:cs="Times New Roman"/>
                <w:color w:val="auto"/>
                <w:sz w:val="21"/>
                <w:szCs w:val="21"/>
                <w:highlight w:val="none"/>
                <w:lang w:val="en-US" w:eastAsia="zh-CN"/>
              </w:rPr>
              <w:t xml:space="preserve">相关</w:t>
            </w:r>
            <w:r>
              <w:rPr>
                <w:rFonts w:hint="default" w:ascii="Times New Roman" w:hAnsi="Times New Roman" w:eastAsia="宋体" w:cs="Times New Roman"/>
                <w:color w:val="auto"/>
                <w:sz w:val="21"/>
                <w:szCs w:val="21"/>
                <w:highlight w:val="none"/>
                <w:lang w:val="en-US" w:eastAsia="zh-CN"/>
              </w:rPr>
              <w:t xml:space="preserve">证书及供应商为其缴纳的投标截止时间前三个月（不含投标当月）内任意一个月的社保证明扫描上传作为得分依据。</w:t>
            </w:r>
            <w:r/>
          </w:p>
        </w:tc>
      </w:tr>
      <w:tr>
        <w:trPr>
          <w:cantSplit/>
          <w:trHeight w:val="1828"/>
        </w:trPr>
        <w:tc>
          <w:tcPr>
            <w:tcBorders>
              <w:top w:val="single" w:color="auto" w:sz="4" w:space="0"/>
              <w:left w:val="single" w:color="auto" w:sz="4" w:space="0"/>
              <w:right w:val="single" w:color="auto" w:sz="4" w:space="0"/>
            </w:tcBorders>
            <w:tcW w:w="785" w:type="dxa"/>
            <w:vAlign w:val="center"/>
            <w:textDirection w:val="lrTb"/>
            <w:noWrap w:val="false"/>
          </w:tcPr>
          <w:p>
            <w:pPr>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val="en-US" w:eastAsia="zh-CN"/>
              </w:rPr>
              <w:t xml:space="preserve">5</w:t>
            </w:r>
            <w:r/>
          </w:p>
        </w:tc>
        <w:tc>
          <w:tcPr>
            <w:tcBorders>
              <w:top w:val="single" w:color="auto" w:sz="4" w:space="0"/>
              <w:left w:val="single" w:color="auto" w:sz="4" w:space="0"/>
              <w:right w:val="single" w:color="auto" w:sz="4" w:space="0"/>
            </w:tcBorders>
            <w:tcW w:w="1547" w:type="dxa"/>
            <w:vAlign w:val="center"/>
            <w:textDirection w:val="lrTb"/>
            <w:noWrap w:val="false"/>
          </w:tcPr>
          <w:p>
            <w:pPr>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 xml:space="preserve">项目组其他成员</w:t>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widowControl/>
              <w:rPr>
                <w:rFonts w:hint="default" w:ascii="Times New Roman" w:hAnsi="Times New Roman" w:eastAsia="宋体" w:cs="Times New Roman"/>
                <w:color w:val="auto"/>
                <w:sz w:val="21"/>
                <w:szCs w:val="21"/>
                <w:highlight w:val="none"/>
              </w:rPr>
            </w:pPr>
            <w:r>
              <w:rPr>
                <w:rFonts w:hint="default" w:ascii="Times New Roman" w:hAnsi="Times New Roman" w:cs="Times New Roman"/>
                <w:color w:val="auto"/>
                <w:sz w:val="21"/>
                <w:szCs w:val="21"/>
                <w:highlight w:val="none"/>
                <w:lang w:val="en-US" w:eastAsia="zh-CN"/>
              </w:rPr>
              <w:t xml:space="preserve">6</w:t>
            </w:r>
            <w:r>
              <w:rPr>
                <w:rFonts w:hint="default" w:ascii="Times New Roman" w:hAnsi="Times New Roman" w:eastAsia="宋体" w:cs="Times New Roman"/>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6953" w:type="dxa"/>
            <w:vAlign w:val="center"/>
            <w:textDirection w:val="lrTb"/>
            <w:noWrap w:val="false"/>
          </w:tcPr>
          <w:p>
            <w:pPr>
              <w:jc w:val="both"/>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 xml:space="preserve">供应商拟投入本项目的其他技术人员中（项目负责人与技术负责人除外）具备全国考古发掘项目负责人培训（或领队）证书的每1人得2分，最高得6分。</w:t>
            </w:r>
            <w:r/>
          </w:p>
          <w:p>
            <w:pPr>
              <w:jc w:val="both"/>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r>
            <w:r/>
          </w:p>
          <w:p>
            <w:pPr>
              <w:jc w:val="both"/>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 xml:space="preserve">注：提供人员</w:t>
            </w:r>
            <w:r>
              <w:rPr>
                <w:rFonts w:hint="default" w:ascii="Times New Roman" w:hAnsi="Times New Roman" w:cs="Times New Roman"/>
                <w:color w:val="auto"/>
                <w:sz w:val="21"/>
                <w:szCs w:val="21"/>
                <w:highlight w:val="none"/>
                <w:lang w:val="en-US" w:eastAsia="zh-CN"/>
              </w:rPr>
              <w:t xml:space="preserve">相关</w:t>
            </w:r>
            <w:r>
              <w:rPr>
                <w:rFonts w:hint="default" w:ascii="Times New Roman" w:hAnsi="Times New Roman" w:eastAsia="宋体" w:cs="Times New Roman"/>
                <w:color w:val="auto"/>
                <w:sz w:val="21"/>
                <w:szCs w:val="21"/>
                <w:highlight w:val="none"/>
                <w:lang w:val="en-US" w:eastAsia="zh-CN"/>
              </w:rPr>
              <w:t xml:space="preserve">证书及供应商为其缴纳的投标截止时间前三个月（不含投标当月）内任意一个月的社保证明扫描上传作为得分依据。</w:t>
            </w:r>
            <w:r/>
          </w:p>
        </w:tc>
      </w:tr>
      <w:tr>
        <w:trPr>
          <w:cantSplit/>
          <w:trHeight w:val="2333"/>
        </w:trPr>
        <w:tc>
          <w:tcPr>
            <w:tcBorders>
              <w:top w:val="single" w:color="auto" w:sz="4" w:space="0"/>
              <w:left w:val="single" w:color="auto" w:sz="4" w:space="0"/>
              <w:right w:val="single" w:color="auto" w:sz="4" w:space="0"/>
            </w:tcBorders>
            <w:tcW w:w="785" w:type="dxa"/>
            <w:vAlign w:val="center"/>
            <w:textDirection w:val="lrTb"/>
            <w:noWrap w:val="false"/>
          </w:tcPr>
          <w:p>
            <w:pPr>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cs="Times New Roman"/>
                <w:color w:val="auto"/>
                <w:sz w:val="21"/>
                <w:szCs w:val="21"/>
                <w:highlight w:val="none"/>
                <w:lang w:val="en-US" w:eastAsia="zh-CN"/>
              </w:rPr>
              <w:t xml:space="preserve">6</w:t>
            </w:r>
            <w:r/>
          </w:p>
        </w:tc>
        <w:tc>
          <w:tcPr>
            <w:tcBorders>
              <w:top w:val="single" w:color="auto" w:sz="4" w:space="0"/>
              <w:left w:val="single" w:color="auto" w:sz="4" w:space="0"/>
              <w:right w:val="single" w:color="auto" w:sz="4" w:space="0"/>
            </w:tcBorders>
            <w:tcW w:w="1547" w:type="dxa"/>
            <w:vAlign w:val="center"/>
            <w:textDirection w:val="lrTb"/>
            <w:noWrap w:val="false"/>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项目认知</w:t>
            </w:r>
            <w:r/>
          </w:p>
        </w:tc>
        <w:tc>
          <w:tcPr>
            <w:tcBorders>
              <w:top w:val="single" w:color="auto" w:sz="4" w:space="0"/>
              <w:left w:val="single" w:color="auto" w:sz="4" w:space="0"/>
              <w:right w:val="single" w:color="auto" w:sz="4" w:space="0"/>
            </w:tcBorders>
            <w:tcW w:w="795" w:type="dxa"/>
            <w:vAlign w:val="center"/>
            <w:textDirection w:val="lrTb"/>
            <w:noWrap w:val="false"/>
          </w:tcPr>
          <w:p>
            <w:pPr>
              <w:jc w:val="center"/>
              <w:rPr>
                <w:rFonts w:hint="default" w:ascii="Times New Roman" w:hAnsi="Times New Roman" w:eastAsia="宋体" w:cs="Times New Roman"/>
                <w:color w:val="auto"/>
                <w:sz w:val="21"/>
                <w:szCs w:val="21"/>
                <w:highlight w:val="none"/>
              </w:rPr>
            </w:pPr>
            <w:r>
              <w:rPr>
                <w:rFonts w:hint="default" w:ascii="Times New Roman" w:hAnsi="Times New Roman" w:cs="Times New Roman"/>
                <w:color w:val="auto"/>
                <w:sz w:val="21"/>
                <w:szCs w:val="21"/>
                <w:highlight w:val="none"/>
                <w:lang w:val="en-US" w:eastAsia="zh-CN"/>
              </w:rPr>
              <w:t xml:space="preserve">10</w:t>
            </w:r>
            <w:r>
              <w:rPr>
                <w:rFonts w:hint="default" w:ascii="Times New Roman" w:hAnsi="Times New Roman" w:eastAsia="宋体" w:cs="Times New Roman"/>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6953" w:type="dxa"/>
            <w:vAlign w:val="center"/>
            <w:textDirection w:val="lrTb"/>
            <w:noWrap w:val="false"/>
          </w:tcPr>
          <w:p>
            <w:pPr>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依据供应商对现状及项目的理解深刻程度</w:t>
            </w:r>
            <w:r>
              <w:rPr>
                <w:rFonts w:hint="default" w:ascii="Times New Roman" w:hAnsi="Times New Roman" w:cs="Times New Roman"/>
                <w:color w:val="auto"/>
                <w:sz w:val="21"/>
                <w:szCs w:val="21"/>
                <w:highlight w:val="none"/>
                <w:lang w:val="en-US" w:eastAsia="zh-CN"/>
              </w:rPr>
              <w:t xml:space="preserve">进行评分，</w:t>
            </w:r>
            <w:r>
              <w:rPr>
                <w:rFonts w:hint="default" w:ascii="Times New Roman" w:hAnsi="Times New Roman" w:eastAsia="宋体" w:cs="Times New Roman"/>
                <w:color w:val="auto"/>
                <w:sz w:val="21"/>
                <w:szCs w:val="21"/>
                <w:highlight w:val="none"/>
              </w:rPr>
              <w:t xml:space="preserve">从是否对地块考古理解深刻，是否了解</w:t>
            </w:r>
            <w:r>
              <w:rPr>
                <w:rFonts w:hint="default" w:ascii="Times New Roman" w:hAnsi="Times New Roman" w:cs="Times New Roman"/>
                <w:color w:val="auto"/>
                <w:sz w:val="21"/>
                <w:szCs w:val="21"/>
                <w:highlight w:val="none"/>
                <w:lang w:val="en-US" w:eastAsia="zh-CN"/>
              </w:rPr>
              <w:t xml:space="preserve">项目所在地</w:t>
            </w:r>
            <w:r>
              <w:rPr>
                <w:rFonts w:hint="default" w:ascii="Times New Roman" w:hAnsi="Times New Roman" w:cs="Times New Roman"/>
                <w:color w:val="auto"/>
                <w:szCs w:val="21"/>
                <w:highlight w:val="none"/>
                <w:lang w:val="en-US" w:eastAsia="zh-CN"/>
              </w:rPr>
              <w:t xml:space="preserve">文化历史、已出土文物、埋藏特征情况</w:t>
            </w:r>
            <w:r>
              <w:rPr>
                <w:rFonts w:hint="default" w:ascii="Times New Roman" w:hAnsi="Times New Roman" w:eastAsia="宋体" w:cs="Times New Roman"/>
                <w:color w:val="auto"/>
                <w:sz w:val="21"/>
                <w:szCs w:val="21"/>
                <w:highlight w:val="none"/>
              </w:rPr>
              <w:t xml:space="preserve">，是否理解本次地块考古的意义等方面综合评分。</w:t>
            </w:r>
            <w:r/>
          </w:p>
          <w:p>
            <w:pPr>
              <w:jc w:val="left"/>
              <w:rPr>
                <w:rFonts w:hint="default" w:ascii="Times New Roman" w:hAnsi="Times New Roman" w:eastAsia="宋体" w:cs="Times New Roman"/>
                <w:color w:val="auto"/>
                <w:sz w:val="21"/>
                <w:szCs w:val="21"/>
                <w:highlight w:val="none"/>
              </w:rPr>
            </w:pPr>
            <w:r>
              <w:rPr>
                <w:rFonts w:hint="default" w:ascii="Times New Roman" w:hAnsi="Times New Roman" w:cs="Times New Roman"/>
                <w:color w:val="auto"/>
                <w:sz w:val="21"/>
                <w:szCs w:val="21"/>
                <w:highlight w:val="none"/>
                <w:lang w:val="en-US" w:eastAsia="zh-CN"/>
              </w:rPr>
              <w:t xml:space="preserve">1.</w:t>
            </w:r>
            <w:r>
              <w:rPr>
                <w:rFonts w:hint="default" w:ascii="Times New Roman" w:hAnsi="Times New Roman" w:eastAsia="宋体" w:cs="Times New Roman"/>
                <w:color w:val="auto"/>
                <w:sz w:val="21"/>
                <w:szCs w:val="21"/>
                <w:highlight w:val="none"/>
              </w:rPr>
              <w:t xml:space="preserve">方案完整、合理、可行性好的得10分；</w:t>
            </w:r>
            <w:r/>
          </w:p>
          <w:p>
            <w:pPr>
              <w:jc w:val="left"/>
              <w:rPr>
                <w:rFonts w:hint="default" w:ascii="Times New Roman" w:hAnsi="Times New Roman" w:eastAsia="宋体" w:cs="Times New Roman"/>
                <w:color w:val="auto"/>
                <w:sz w:val="21"/>
                <w:szCs w:val="21"/>
                <w:highlight w:val="none"/>
              </w:rPr>
            </w:pPr>
            <w:r>
              <w:rPr>
                <w:rFonts w:hint="default" w:ascii="Times New Roman" w:hAnsi="Times New Roman" w:cs="Times New Roman"/>
                <w:color w:val="auto"/>
                <w:sz w:val="21"/>
                <w:szCs w:val="21"/>
                <w:highlight w:val="none"/>
                <w:lang w:val="en-US" w:eastAsia="zh-CN"/>
              </w:rPr>
              <w:t xml:space="preserve">2.</w:t>
            </w:r>
            <w:r>
              <w:rPr>
                <w:rFonts w:hint="default" w:ascii="Times New Roman" w:hAnsi="Times New Roman" w:eastAsia="宋体" w:cs="Times New Roman"/>
                <w:color w:val="auto"/>
                <w:sz w:val="21"/>
                <w:szCs w:val="21"/>
                <w:highlight w:val="none"/>
              </w:rPr>
              <w:t xml:space="preserve">方案较完整、基本合理、基本可行的得</w:t>
            </w:r>
            <w:r>
              <w:rPr>
                <w:rFonts w:hint="default" w:ascii="Times New Roman" w:hAnsi="Times New Roman" w:cs="Times New Roman"/>
                <w:color w:val="auto"/>
                <w:sz w:val="21"/>
                <w:szCs w:val="21"/>
                <w:highlight w:val="none"/>
                <w:lang w:val="en-US" w:eastAsia="zh-CN"/>
              </w:rPr>
              <w:t xml:space="preserve">7</w:t>
            </w:r>
            <w:r>
              <w:rPr>
                <w:rFonts w:hint="default" w:ascii="Times New Roman" w:hAnsi="Times New Roman" w:eastAsia="宋体" w:cs="Times New Roman"/>
                <w:color w:val="auto"/>
                <w:sz w:val="21"/>
                <w:szCs w:val="21"/>
                <w:highlight w:val="none"/>
              </w:rPr>
              <w:t xml:space="preserve">分；</w:t>
            </w:r>
            <w:r/>
          </w:p>
          <w:p>
            <w:pPr>
              <w:jc w:val="left"/>
              <w:rPr>
                <w:rFonts w:hint="default" w:ascii="Times New Roman" w:hAnsi="Times New Roman" w:eastAsia="宋体" w:cs="Times New Roman"/>
                <w:color w:val="auto"/>
                <w:sz w:val="21"/>
                <w:szCs w:val="21"/>
                <w:highlight w:val="none"/>
              </w:rPr>
            </w:pPr>
            <w:r>
              <w:rPr>
                <w:rFonts w:hint="default" w:ascii="Times New Roman" w:hAnsi="Times New Roman" w:cs="Times New Roman"/>
                <w:color w:val="auto"/>
                <w:sz w:val="21"/>
                <w:szCs w:val="21"/>
                <w:highlight w:val="none"/>
                <w:lang w:val="en-US" w:eastAsia="zh-CN"/>
              </w:rPr>
              <w:t xml:space="preserve">3.</w:t>
            </w:r>
            <w:r>
              <w:rPr>
                <w:rFonts w:hint="default" w:ascii="Times New Roman" w:hAnsi="Times New Roman" w:eastAsia="宋体" w:cs="Times New Roman"/>
                <w:color w:val="auto"/>
                <w:sz w:val="21"/>
                <w:szCs w:val="21"/>
                <w:highlight w:val="none"/>
              </w:rPr>
              <w:t xml:space="preserve">方案不太完整、不太合理、不太可行的得</w:t>
            </w:r>
            <w:r>
              <w:rPr>
                <w:rFonts w:hint="default" w:ascii="Times New Roman" w:hAnsi="Times New Roman" w:cs="Times New Roman"/>
                <w:color w:val="auto"/>
                <w:sz w:val="21"/>
                <w:szCs w:val="21"/>
                <w:highlight w:val="none"/>
                <w:lang w:val="en-US" w:eastAsia="zh-CN"/>
              </w:rPr>
              <w:t xml:space="preserve">4</w:t>
            </w:r>
            <w:r>
              <w:rPr>
                <w:rFonts w:hint="default" w:ascii="Times New Roman" w:hAnsi="Times New Roman" w:eastAsia="宋体" w:cs="Times New Roman"/>
                <w:color w:val="auto"/>
                <w:sz w:val="21"/>
                <w:szCs w:val="21"/>
                <w:highlight w:val="none"/>
              </w:rPr>
              <w:t xml:space="preserve">分；</w:t>
            </w:r>
            <w:r/>
          </w:p>
          <w:p>
            <w:pPr>
              <w:jc w:val="left"/>
              <w:rPr>
                <w:rFonts w:hint="default" w:ascii="Times New Roman" w:hAnsi="Times New Roman" w:eastAsia="宋体" w:cs="Times New Roman"/>
                <w:b/>
                <w:bCs/>
                <w:color w:val="auto"/>
                <w:sz w:val="21"/>
                <w:szCs w:val="21"/>
                <w:highlight w:val="none"/>
              </w:rPr>
            </w:pPr>
            <w:r>
              <w:rPr>
                <w:rFonts w:hint="default" w:ascii="Times New Roman" w:hAnsi="Times New Roman" w:cs="Times New Roman"/>
                <w:color w:val="auto"/>
                <w:sz w:val="21"/>
                <w:szCs w:val="21"/>
                <w:highlight w:val="none"/>
                <w:lang w:val="en-US" w:eastAsia="zh-CN"/>
              </w:rPr>
              <w:t xml:space="preserve">4.</w:t>
            </w:r>
            <w:r>
              <w:rPr>
                <w:rFonts w:hint="default" w:ascii="Times New Roman" w:hAnsi="Times New Roman" w:eastAsia="宋体" w:cs="Times New Roman"/>
                <w:color w:val="auto"/>
                <w:sz w:val="21"/>
                <w:szCs w:val="21"/>
                <w:highlight w:val="none"/>
              </w:rPr>
              <w:t xml:space="preserve">未提供的不得分。</w:t>
            </w:r>
            <w:r/>
          </w:p>
        </w:tc>
      </w:tr>
      <w:tr>
        <w:trPr>
          <w:cantSplit/>
          <w:trHeight w:val="3805"/>
        </w:trPr>
        <w:tc>
          <w:tcPr>
            <w:tcBorders>
              <w:left w:val="single" w:color="auto" w:sz="4" w:space="0"/>
              <w:right w:val="single" w:color="auto" w:sz="4" w:space="0"/>
            </w:tcBorders>
            <w:tcW w:w="785" w:type="dxa"/>
            <w:vAlign w:val="center"/>
            <w:textDirection w:val="lrTb"/>
            <w:noWrap w:val="false"/>
          </w:tcPr>
          <w:p>
            <w:pPr>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 xml:space="preserve">7</w:t>
            </w:r>
            <w:r/>
          </w:p>
        </w:tc>
        <w:tc>
          <w:tcPr>
            <w:tcBorders>
              <w:left w:val="single" w:color="auto" w:sz="4" w:space="0"/>
              <w:right w:val="single" w:color="auto" w:sz="4" w:space="0"/>
            </w:tcBorders>
            <w:tcW w:w="1547" w:type="dxa"/>
            <w:vAlign w:val="center"/>
            <w:textDirection w:val="lrTb"/>
            <w:noWrap w:val="false"/>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 xml:space="preserve">项目开展的方法措施、方案的可行性以及项目重点、难点分析</w:t>
            </w:r>
            <w:r/>
          </w:p>
        </w:tc>
        <w:tc>
          <w:tcPr>
            <w:tcBorders>
              <w:left w:val="single" w:color="auto" w:sz="4" w:space="0"/>
              <w:right w:val="single" w:color="auto" w:sz="4" w:space="0"/>
            </w:tcBorders>
            <w:tcW w:w="795" w:type="dxa"/>
            <w:vAlign w:val="center"/>
            <w:textDirection w:val="lrTb"/>
            <w:noWrap w:val="false"/>
          </w:tcPr>
          <w:p>
            <w:pPr>
              <w:jc w:val="center"/>
              <w:rPr>
                <w:rFonts w:hint="default" w:ascii="Times New Roman" w:hAnsi="Times New Roman" w:eastAsia="宋体" w:cs="Times New Roman"/>
                <w:color w:val="auto"/>
                <w:sz w:val="21"/>
                <w:szCs w:val="21"/>
                <w:highlight w:val="none"/>
              </w:rPr>
            </w:pPr>
            <w:r>
              <w:rPr>
                <w:rFonts w:hint="default" w:ascii="Times New Roman" w:hAnsi="Times New Roman" w:cs="Times New Roman"/>
                <w:color w:val="auto"/>
                <w:sz w:val="21"/>
                <w:szCs w:val="21"/>
                <w:highlight w:val="none"/>
                <w:lang w:val="en-US" w:eastAsia="zh-CN"/>
              </w:rPr>
              <w:t xml:space="preserve">20</w:t>
            </w:r>
            <w:r>
              <w:rPr>
                <w:rFonts w:hint="default" w:ascii="Times New Roman" w:hAnsi="Times New Roman" w:eastAsia="宋体" w:cs="Times New Roman"/>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6953" w:type="dxa"/>
            <w:vAlign w:val="center"/>
            <w:textDirection w:val="lrTb"/>
            <w:noWrap w:val="false"/>
          </w:tcPr>
          <w:p>
            <w:pPr>
              <w:jc w:val="left"/>
              <w:rPr>
                <w:rFonts w:hint="default" w:ascii="Times New Roman" w:hAnsi="Times New Roman" w:eastAsia="宋体" w:cs="Times New Roman"/>
                <w:b/>
                <w:bCs w:val="0"/>
                <w:color w:val="auto"/>
                <w:sz w:val="21"/>
                <w:szCs w:val="21"/>
                <w:highlight w:val="none"/>
                <w:lang w:val="en-US" w:eastAsia="zh-CN" w:bidi="ar-SA"/>
              </w:rPr>
            </w:pPr>
            <w:r>
              <w:rPr>
                <w:rFonts w:hint="default" w:ascii="Times New Roman" w:hAnsi="Times New Roman" w:eastAsia="宋体" w:cs="Times New Roman"/>
                <w:b/>
                <w:bCs w:val="0"/>
                <w:color w:val="auto"/>
                <w:sz w:val="21"/>
                <w:szCs w:val="21"/>
                <w:highlight w:val="none"/>
                <w:lang w:val="en-US" w:eastAsia="zh-CN" w:bidi="ar-SA"/>
              </w:rPr>
              <w:t xml:space="preserve">①对项目开展的方法措施的合理性、可行性进行评审：</w:t>
            </w:r>
            <w:r/>
          </w:p>
          <w:p>
            <w:pPr>
              <w:numPr>
                <w:ilvl w:val="0"/>
                <w:numId w:val="0"/>
              </w:numPr>
              <w:jc w:val="left"/>
              <w:rPr>
                <w:rFonts w:hint="default" w:ascii="Times New Roman" w:hAnsi="Times New Roman" w:eastAsia="宋体" w:cs="Times New Roman"/>
                <w:bCs/>
                <w:color w:val="auto"/>
                <w:sz w:val="21"/>
                <w:szCs w:val="21"/>
                <w:highlight w:val="none"/>
                <w:lang w:val="en-US" w:eastAsia="zh-CN" w:bidi="ar-SA"/>
              </w:rPr>
            </w:pPr>
            <w:r>
              <w:rPr>
                <w:rFonts w:hint="default" w:ascii="Times New Roman" w:hAnsi="Times New Roman" w:cs="Times New Roman"/>
                <w:bCs/>
                <w:color w:val="auto"/>
                <w:sz w:val="21"/>
                <w:szCs w:val="21"/>
                <w:highlight w:val="none"/>
                <w:lang w:val="en-US" w:eastAsia="zh-CN" w:bidi="ar-SA"/>
              </w:rPr>
              <w:t xml:space="preserve">1.</w:t>
            </w:r>
            <w:r>
              <w:rPr>
                <w:rFonts w:hint="default" w:ascii="Times New Roman" w:hAnsi="Times New Roman" w:eastAsia="宋体" w:cs="Times New Roman"/>
                <w:bCs/>
                <w:color w:val="auto"/>
                <w:sz w:val="21"/>
                <w:szCs w:val="21"/>
                <w:highlight w:val="none"/>
                <w:lang w:val="en-US" w:eastAsia="zh-CN" w:bidi="ar-SA"/>
              </w:rPr>
              <w:t xml:space="preserve">具有清晰完整的采购目的达成的脉络分析、明确的措施方法</w:t>
            </w:r>
            <w:r>
              <w:rPr>
                <w:rFonts w:hint="default" w:ascii="Times New Roman" w:hAnsi="Times New Roman" w:cs="Times New Roman"/>
                <w:bCs/>
                <w:color w:val="auto"/>
                <w:sz w:val="21"/>
                <w:szCs w:val="21"/>
                <w:highlight w:val="none"/>
                <w:lang w:val="en-US" w:eastAsia="zh-CN" w:bidi="ar-SA"/>
              </w:rPr>
              <w:t xml:space="preserve">（</w:t>
            </w:r>
            <w:r>
              <w:rPr>
                <w:rFonts w:hint="default" w:ascii="Times New Roman" w:hAnsi="Times New Roman" w:eastAsia="宋体" w:cs="Times New Roman"/>
                <w:bCs/>
                <w:color w:val="auto"/>
                <w:sz w:val="21"/>
                <w:szCs w:val="21"/>
                <w:highlight w:val="none"/>
                <w:lang w:val="en-US" w:eastAsia="zh-CN" w:bidi="ar-SA"/>
              </w:rPr>
              <w:t xml:space="preserve">技术、组织、资金等</w:t>
            </w:r>
            <w:r>
              <w:rPr>
                <w:rFonts w:hint="default" w:ascii="Times New Roman" w:hAnsi="Times New Roman" w:cs="Times New Roman"/>
                <w:bCs/>
                <w:color w:val="auto"/>
                <w:sz w:val="21"/>
                <w:szCs w:val="21"/>
                <w:highlight w:val="none"/>
                <w:lang w:val="en-US" w:eastAsia="zh-CN" w:bidi="ar-SA"/>
              </w:rPr>
              <w:t xml:space="preserve">），</w:t>
            </w:r>
            <w:r>
              <w:rPr>
                <w:rFonts w:hint="default" w:ascii="Times New Roman" w:hAnsi="Times New Roman" w:eastAsia="宋体" w:cs="Times New Roman"/>
                <w:bCs/>
                <w:color w:val="auto"/>
                <w:sz w:val="21"/>
                <w:szCs w:val="21"/>
                <w:highlight w:val="none"/>
                <w:lang w:val="en-US" w:eastAsia="zh-CN" w:bidi="ar-SA"/>
              </w:rPr>
              <w:t xml:space="preserve">针对性强且有效可行的得10分；</w:t>
            </w:r>
            <w:r/>
          </w:p>
          <w:p>
            <w:pPr>
              <w:numPr>
                <w:ilvl w:val="0"/>
                <w:numId w:val="0"/>
              </w:numPr>
              <w:jc w:val="left"/>
              <w:rPr>
                <w:rFonts w:hint="default" w:ascii="Times New Roman" w:hAnsi="Times New Roman" w:eastAsia="宋体" w:cs="Times New Roman"/>
                <w:bCs/>
                <w:color w:val="auto"/>
                <w:sz w:val="21"/>
                <w:szCs w:val="21"/>
                <w:highlight w:val="none"/>
                <w:lang w:val="en-US" w:eastAsia="zh-CN" w:bidi="ar-SA"/>
              </w:rPr>
            </w:pPr>
            <w:r>
              <w:rPr>
                <w:rFonts w:hint="default" w:ascii="Times New Roman" w:hAnsi="Times New Roman" w:cs="Times New Roman"/>
                <w:bCs/>
                <w:color w:val="auto"/>
                <w:sz w:val="21"/>
                <w:szCs w:val="21"/>
                <w:highlight w:val="none"/>
                <w:lang w:val="en-US" w:eastAsia="zh-CN" w:bidi="ar-SA"/>
              </w:rPr>
              <w:t xml:space="preserve">2.</w:t>
            </w:r>
            <w:r>
              <w:rPr>
                <w:rFonts w:hint="default" w:ascii="Times New Roman" w:hAnsi="Times New Roman" w:eastAsia="宋体" w:cs="Times New Roman"/>
                <w:bCs/>
                <w:color w:val="auto"/>
                <w:sz w:val="21"/>
                <w:szCs w:val="21"/>
                <w:highlight w:val="none"/>
                <w:lang w:val="en-US" w:eastAsia="zh-CN" w:bidi="ar-SA"/>
              </w:rPr>
              <w:t xml:space="preserve">具有较完整的脉络分析、措施方案稍有欠缺但能有效可行的达成采购目的的得</w:t>
            </w:r>
            <w:r>
              <w:rPr>
                <w:rFonts w:hint="default" w:ascii="Times New Roman" w:hAnsi="Times New Roman" w:cs="Times New Roman"/>
                <w:bCs/>
                <w:color w:val="auto"/>
                <w:sz w:val="21"/>
                <w:szCs w:val="21"/>
                <w:highlight w:val="none"/>
                <w:lang w:val="en-US" w:eastAsia="zh-CN" w:bidi="ar-SA"/>
              </w:rPr>
              <w:t xml:space="preserve">7</w:t>
            </w:r>
            <w:r>
              <w:rPr>
                <w:rFonts w:hint="default" w:ascii="Times New Roman" w:hAnsi="Times New Roman" w:eastAsia="宋体" w:cs="Times New Roman"/>
                <w:bCs/>
                <w:color w:val="auto"/>
                <w:sz w:val="21"/>
                <w:szCs w:val="21"/>
                <w:highlight w:val="none"/>
                <w:lang w:val="en-US" w:eastAsia="zh-CN" w:bidi="ar-SA"/>
              </w:rPr>
              <w:t xml:space="preserve">分；</w:t>
            </w:r>
            <w:r/>
          </w:p>
          <w:p>
            <w:pPr>
              <w:numPr>
                <w:ilvl w:val="0"/>
                <w:numId w:val="0"/>
              </w:numPr>
              <w:jc w:val="left"/>
              <w:rPr>
                <w:rFonts w:hint="default" w:ascii="Times New Roman" w:hAnsi="Times New Roman" w:eastAsia="宋体" w:cs="Times New Roman"/>
                <w:bCs/>
                <w:color w:val="auto"/>
                <w:sz w:val="21"/>
                <w:szCs w:val="21"/>
                <w:highlight w:val="none"/>
                <w:lang w:val="en-US" w:eastAsia="zh-CN" w:bidi="ar-SA"/>
              </w:rPr>
            </w:pPr>
            <w:r>
              <w:rPr>
                <w:rFonts w:hint="default" w:ascii="Times New Roman" w:hAnsi="Times New Roman" w:cs="Times New Roman"/>
                <w:bCs/>
                <w:color w:val="auto"/>
                <w:sz w:val="21"/>
                <w:szCs w:val="21"/>
                <w:highlight w:val="none"/>
                <w:lang w:val="en-US" w:eastAsia="zh-CN" w:bidi="ar-SA"/>
              </w:rPr>
              <w:t xml:space="preserve">3.</w:t>
            </w:r>
            <w:r>
              <w:rPr>
                <w:rFonts w:hint="default" w:ascii="Times New Roman" w:hAnsi="Times New Roman" w:eastAsia="宋体" w:cs="Times New Roman"/>
                <w:bCs/>
                <w:color w:val="auto"/>
                <w:sz w:val="21"/>
                <w:szCs w:val="21"/>
                <w:highlight w:val="none"/>
                <w:lang w:val="en-US" w:eastAsia="zh-CN" w:bidi="ar-SA"/>
              </w:rPr>
              <w:t xml:space="preserve">具有主要点的脉络分析、实施方案混乱、条理不清的、可行性弱的得</w:t>
            </w:r>
            <w:r>
              <w:rPr>
                <w:rFonts w:hint="default" w:ascii="Times New Roman" w:hAnsi="Times New Roman" w:cs="Times New Roman"/>
                <w:bCs/>
                <w:color w:val="auto"/>
                <w:sz w:val="21"/>
                <w:szCs w:val="21"/>
                <w:highlight w:val="none"/>
                <w:lang w:val="en-US" w:eastAsia="zh-CN" w:bidi="ar-SA"/>
              </w:rPr>
              <w:t xml:space="preserve">4</w:t>
            </w:r>
            <w:r>
              <w:rPr>
                <w:rFonts w:hint="default" w:ascii="Times New Roman" w:hAnsi="Times New Roman" w:eastAsia="宋体" w:cs="Times New Roman"/>
                <w:bCs/>
                <w:color w:val="auto"/>
                <w:sz w:val="21"/>
                <w:szCs w:val="21"/>
                <w:highlight w:val="none"/>
                <w:lang w:val="en-US" w:eastAsia="zh-CN" w:bidi="ar-SA"/>
              </w:rPr>
              <w:t xml:space="preserve">分；</w:t>
            </w:r>
            <w:r/>
          </w:p>
          <w:p>
            <w:pPr>
              <w:numPr>
                <w:ilvl w:val="0"/>
                <w:numId w:val="0"/>
              </w:numPr>
              <w:jc w:val="left"/>
              <w:rPr>
                <w:rFonts w:hint="default" w:ascii="Times New Roman" w:hAnsi="Times New Roman" w:eastAsia="宋体" w:cs="Times New Roman"/>
                <w:bCs/>
                <w:color w:val="auto"/>
                <w:sz w:val="21"/>
                <w:szCs w:val="21"/>
                <w:highlight w:val="none"/>
                <w:lang w:val="en-US" w:eastAsia="zh-CN" w:bidi="ar-SA"/>
              </w:rPr>
            </w:pPr>
            <w:r>
              <w:rPr>
                <w:rFonts w:hint="default" w:ascii="Times New Roman" w:hAnsi="Times New Roman" w:cs="Times New Roman"/>
                <w:bCs/>
                <w:color w:val="auto"/>
                <w:sz w:val="21"/>
                <w:szCs w:val="21"/>
                <w:highlight w:val="none"/>
                <w:lang w:val="en-US" w:eastAsia="zh-CN" w:bidi="ar-SA"/>
              </w:rPr>
              <w:t xml:space="preserve">4.</w:t>
            </w:r>
            <w:r>
              <w:rPr>
                <w:rFonts w:hint="default" w:ascii="Times New Roman" w:hAnsi="Times New Roman" w:eastAsia="宋体" w:cs="Times New Roman"/>
                <w:bCs/>
                <w:color w:val="auto"/>
                <w:sz w:val="21"/>
                <w:szCs w:val="21"/>
                <w:highlight w:val="none"/>
                <w:lang w:val="en-US" w:eastAsia="zh-CN" w:bidi="ar-SA"/>
              </w:rPr>
              <w:t xml:space="preserve">未提供不得分。</w:t>
            </w:r>
            <w:r/>
          </w:p>
          <w:p>
            <w:pPr>
              <w:jc w:val="left"/>
              <w:rPr>
                <w:rFonts w:hint="default" w:ascii="Times New Roman" w:hAnsi="Times New Roman" w:eastAsia="宋体" w:cs="Times New Roman"/>
                <w:b/>
                <w:bCs w:val="0"/>
                <w:color w:val="auto"/>
                <w:sz w:val="21"/>
                <w:szCs w:val="21"/>
                <w:highlight w:val="none"/>
                <w:lang w:val="en-US" w:eastAsia="zh-CN" w:bidi="ar-SA"/>
              </w:rPr>
            </w:pPr>
            <w:r>
              <w:rPr>
                <w:rFonts w:hint="default" w:ascii="Times New Roman" w:hAnsi="Times New Roman" w:eastAsia="宋体" w:cs="Times New Roman"/>
                <w:b/>
                <w:bCs w:val="0"/>
                <w:color w:val="auto"/>
                <w:sz w:val="21"/>
                <w:szCs w:val="21"/>
                <w:highlight w:val="none"/>
                <w:lang w:val="en-US" w:eastAsia="zh-CN" w:bidi="ar-SA"/>
              </w:rPr>
              <w:t xml:space="preserve">②对项目重点难点分析、解决方案的制订进行评审：</w:t>
            </w:r>
            <w:r/>
          </w:p>
          <w:p>
            <w:pPr>
              <w:numPr>
                <w:ilvl w:val="0"/>
                <w:numId w:val="0"/>
              </w:numPr>
              <w:jc w:val="left"/>
              <w:rPr>
                <w:rFonts w:hint="default" w:ascii="Times New Roman" w:hAnsi="Times New Roman" w:eastAsia="宋体" w:cs="Times New Roman"/>
                <w:bCs/>
                <w:color w:val="auto"/>
                <w:sz w:val="21"/>
                <w:szCs w:val="21"/>
                <w:highlight w:val="none"/>
                <w:lang w:val="en-US" w:eastAsia="zh-CN" w:bidi="ar-SA"/>
              </w:rPr>
            </w:pPr>
            <w:r>
              <w:rPr>
                <w:rFonts w:hint="default" w:ascii="Times New Roman" w:hAnsi="Times New Roman" w:cs="Times New Roman"/>
                <w:bCs/>
                <w:color w:val="auto"/>
                <w:sz w:val="21"/>
                <w:szCs w:val="21"/>
                <w:highlight w:val="none"/>
                <w:lang w:val="en-US" w:eastAsia="zh-CN" w:bidi="ar-SA"/>
              </w:rPr>
              <w:t xml:space="preserve">1.</w:t>
            </w:r>
            <w:r>
              <w:rPr>
                <w:rFonts w:hint="default" w:ascii="Times New Roman" w:hAnsi="Times New Roman" w:eastAsia="宋体" w:cs="Times New Roman"/>
                <w:bCs/>
                <w:color w:val="auto"/>
                <w:sz w:val="21"/>
                <w:szCs w:val="21"/>
                <w:highlight w:val="none"/>
                <w:lang w:val="en-US" w:eastAsia="zh-CN" w:bidi="ar-SA"/>
              </w:rPr>
              <w:t xml:space="preserve">分析全面准确，解决方案详细、合理且有效的得10分；</w:t>
            </w:r>
            <w:r/>
          </w:p>
          <w:p>
            <w:pPr>
              <w:numPr>
                <w:ilvl w:val="0"/>
                <w:numId w:val="0"/>
              </w:numPr>
              <w:jc w:val="left"/>
              <w:rPr>
                <w:rFonts w:hint="default" w:ascii="Times New Roman" w:hAnsi="Times New Roman" w:eastAsia="宋体" w:cs="Times New Roman"/>
                <w:bCs/>
                <w:color w:val="auto"/>
                <w:sz w:val="21"/>
                <w:szCs w:val="21"/>
                <w:highlight w:val="none"/>
                <w:lang w:val="en-US" w:eastAsia="zh-CN" w:bidi="ar-SA"/>
              </w:rPr>
            </w:pPr>
            <w:r>
              <w:rPr>
                <w:rFonts w:hint="default" w:ascii="Times New Roman" w:hAnsi="Times New Roman" w:cs="Times New Roman"/>
                <w:bCs/>
                <w:color w:val="auto"/>
                <w:sz w:val="21"/>
                <w:szCs w:val="21"/>
                <w:highlight w:val="none"/>
                <w:lang w:val="en-US" w:eastAsia="zh-CN" w:bidi="ar-SA"/>
              </w:rPr>
              <w:t xml:space="preserve">2.</w:t>
            </w:r>
            <w:r>
              <w:rPr>
                <w:rFonts w:hint="default" w:ascii="Times New Roman" w:hAnsi="Times New Roman" w:eastAsia="宋体" w:cs="Times New Roman"/>
                <w:bCs/>
                <w:color w:val="auto"/>
                <w:sz w:val="21"/>
                <w:szCs w:val="21"/>
                <w:highlight w:val="none"/>
                <w:lang w:val="en-US" w:eastAsia="zh-CN" w:bidi="ar-SA"/>
              </w:rPr>
              <w:t xml:space="preserve">分析比较全面，方案可行，能基本解决问题的得</w:t>
            </w:r>
            <w:r>
              <w:rPr>
                <w:rFonts w:hint="default" w:ascii="Times New Roman" w:hAnsi="Times New Roman" w:cs="Times New Roman"/>
                <w:bCs/>
                <w:color w:val="auto"/>
                <w:sz w:val="21"/>
                <w:szCs w:val="21"/>
                <w:highlight w:val="none"/>
                <w:lang w:val="en-US" w:eastAsia="zh-CN" w:bidi="ar-SA"/>
              </w:rPr>
              <w:t xml:space="preserve">7</w:t>
            </w:r>
            <w:r>
              <w:rPr>
                <w:rFonts w:hint="default" w:ascii="Times New Roman" w:hAnsi="Times New Roman" w:eastAsia="宋体" w:cs="Times New Roman"/>
                <w:bCs/>
                <w:color w:val="auto"/>
                <w:sz w:val="21"/>
                <w:szCs w:val="21"/>
                <w:highlight w:val="none"/>
                <w:lang w:val="en-US" w:eastAsia="zh-CN" w:bidi="ar-SA"/>
              </w:rPr>
              <w:t xml:space="preserve">分；</w:t>
            </w:r>
            <w:r/>
          </w:p>
          <w:p>
            <w:pPr>
              <w:numPr>
                <w:ilvl w:val="0"/>
                <w:numId w:val="0"/>
              </w:numPr>
              <w:jc w:val="left"/>
              <w:rPr>
                <w:rFonts w:hint="default" w:ascii="Times New Roman" w:hAnsi="Times New Roman" w:eastAsia="宋体" w:cs="Times New Roman"/>
                <w:bCs/>
                <w:color w:val="auto"/>
                <w:sz w:val="21"/>
                <w:szCs w:val="21"/>
                <w:highlight w:val="none"/>
                <w:lang w:val="en-US" w:eastAsia="zh-CN" w:bidi="ar-SA"/>
              </w:rPr>
            </w:pPr>
            <w:r>
              <w:rPr>
                <w:rFonts w:hint="default" w:ascii="Times New Roman" w:hAnsi="Times New Roman" w:cs="Times New Roman"/>
                <w:bCs/>
                <w:color w:val="auto"/>
                <w:sz w:val="21"/>
                <w:szCs w:val="21"/>
                <w:highlight w:val="none"/>
                <w:lang w:val="en-US" w:eastAsia="zh-CN" w:bidi="ar-SA"/>
              </w:rPr>
              <w:t xml:space="preserve">3.</w:t>
            </w:r>
            <w:r>
              <w:rPr>
                <w:rFonts w:hint="default" w:ascii="Times New Roman" w:hAnsi="Times New Roman" w:eastAsia="宋体" w:cs="Times New Roman"/>
                <w:bCs/>
                <w:color w:val="auto"/>
                <w:sz w:val="21"/>
                <w:szCs w:val="21"/>
                <w:highlight w:val="none"/>
                <w:lang w:val="en-US" w:eastAsia="zh-CN" w:bidi="ar-SA"/>
              </w:rPr>
              <w:t xml:space="preserve">措施内容不完整，但基本可行，能达到采购目的得</w:t>
            </w:r>
            <w:r>
              <w:rPr>
                <w:rFonts w:hint="default" w:ascii="Times New Roman" w:hAnsi="Times New Roman" w:cs="Times New Roman"/>
                <w:bCs/>
                <w:color w:val="auto"/>
                <w:sz w:val="21"/>
                <w:szCs w:val="21"/>
                <w:highlight w:val="none"/>
                <w:lang w:val="en-US" w:eastAsia="zh-CN" w:bidi="ar-SA"/>
              </w:rPr>
              <w:t xml:space="preserve">4</w:t>
            </w:r>
            <w:r>
              <w:rPr>
                <w:rFonts w:hint="default" w:ascii="Times New Roman" w:hAnsi="Times New Roman" w:eastAsia="宋体" w:cs="Times New Roman"/>
                <w:bCs/>
                <w:color w:val="auto"/>
                <w:sz w:val="21"/>
                <w:szCs w:val="21"/>
                <w:highlight w:val="none"/>
                <w:lang w:val="en-US" w:eastAsia="zh-CN" w:bidi="ar-SA"/>
              </w:rPr>
              <w:t xml:space="preserve">分；</w:t>
            </w:r>
            <w:r/>
          </w:p>
          <w:p>
            <w:pPr>
              <w:numPr>
                <w:ilvl w:val="0"/>
                <w:numId w:val="0"/>
              </w:numPr>
              <w:jc w:val="left"/>
              <w:rPr>
                <w:rFonts w:hint="default" w:ascii="Times New Roman" w:hAnsi="Times New Roman" w:eastAsia="宋体" w:cs="Times New Roman"/>
                <w:color w:val="auto"/>
                <w:sz w:val="21"/>
                <w:szCs w:val="21"/>
                <w:highlight w:val="none"/>
              </w:rPr>
            </w:pPr>
            <w:r>
              <w:rPr>
                <w:rFonts w:hint="default" w:ascii="Times New Roman" w:hAnsi="Times New Roman" w:cs="Times New Roman"/>
                <w:bCs/>
                <w:color w:val="auto"/>
                <w:sz w:val="21"/>
                <w:szCs w:val="21"/>
                <w:highlight w:val="none"/>
                <w:lang w:val="en-US" w:eastAsia="zh-CN" w:bidi="ar-SA"/>
              </w:rPr>
              <w:t xml:space="preserve">4.</w:t>
            </w:r>
            <w:r>
              <w:rPr>
                <w:rFonts w:hint="default" w:ascii="Times New Roman" w:hAnsi="Times New Roman" w:eastAsia="宋体" w:cs="Times New Roman"/>
                <w:bCs/>
                <w:color w:val="auto"/>
                <w:sz w:val="21"/>
                <w:szCs w:val="21"/>
                <w:highlight w:val="none"/>
                <w:lang w:val="en-US" w:eastAsia="zh-CN" w:bidi="ar-SA"/>
              </w:rPr>
              <w:t xml:space="preserve">未提供不得分。</w:t>
            </w:r>
            <w:r/>
          </w:p>
        </w:tc>
      </w:tr>
      <w:tr>
        <w:trPr>
          <w:cantSplit/>
          <w:trHeight w:val="2988"/>
        </w:trPr>
        <w:tc>
          <w:tcPr>
            <w:tcBorders>
              <w:left w:val="single" w:color="auto" w:sz="4" w:space="0"/>
              <w:right w:val="single" w:color="auto" w:sz="4" w:space="0"/>
            </w:tcBorders>
            <w:tcW w:w="785" w:type="dxa"/>
            <w:vAlign w:val="center"/>
            <w:textDirection w:val="lrTb"/>
            <w:noWrap w:val="false"/>
          </w:tcPr>
          <w:p>
            <w:pPr>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 xml:space="preserve">8</w:t>
            </w:r>
            <w:r/>
          </w:p>
        </w:tc>
        <w:tc>
          <w:tcPr>
            <w:tcBorders>
              <w:left w:val="single" w:color="auto" w:sz="4" w:space="0"/>
              <w:right w:val="single" w:color="auto" w:sz="4" w:space="0"/>
            </w:tcBorders>
            <w:tcW w:w="1547" w:type="dxa"/>
            <w:vAlign w:val="center"/>
            <w:textDirection w:val="lrTb"/>
            <w:noWrap w:val="false"/>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 xml:space="preserve">本项目质量控制保证措施和各阶段进度控制保证措施</w:t>
            </w:r>
            <w:r/>
          </w:p>
        </w:tc>
        <w:tc>
          <w:tcPr>
            <w:tcBorders>
              <w:left w:val="single" w:color="auto" w:sz="4" w:space="0"/>
              <w:right w:val="single" w:color="auto" w:sz="4" w:space="0"/>
            </w:tcBorders>
            <w:tcW w:w="795" w:type="dxa"/>
            <w:vAlign w:val="center"/>
            <w:textDirection w:val="lrTb"/>
            <w:noWrap w:val="false"/>
          </w:tcPr>
          <w:p>
            <w:pPr>
              <w:jc w:val="center"/>
              <w:rPr>
                <w:rFonts w:hint="default" w:ascii="Times New Roman" w:hAnsi="Times New Roman" w:eastAsia="宋体" w:cs="Times New Roman"/>
                <w:color w:val="auto"/>
                <w:sz w:val="21"/>
                <w:szCs w:val="21"/>
                <w:highlight w:val="none"/>
              </w:rPr>
            </w:pPr>
            <w:r>
              <w:rPr>
                <w:rFonts w:hint="default" w:ascii="Times New Roman" w:hAnsi="Times New Roman" w:cs="Times New Roman"/>
                <w:color w:val="auto"/>
                <w:sz w:val="21"/>
                <w:szCs w:val="21"/>
                <w:highlight w:val="none"/>
                <w:lang w:val="en-US" w:eastAsia="zh-CN"/>
              </w:rPr>
              <w:t xml:space="preserve">16</w:t>
            </w:r>
            <w:r>
              <w:rPr>
                <w:rFonts w:hint="default" w:ascii="Times New Roman" w:hAnsi="Times New Roman" w:eastAsia="宋体" w:cs="Times New Roman"/>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6953" w:type="dxa"/>
            <w:vAlign w:val="center"/>
            <w:textDirection w:val="lrTb"/>
            <w:noWrap w:val="false"/>
          </w:tcPr>
          <w:p>
            <w:pPr>
              <w:jc w:val="left"/>
              <w:keepLines w:val="0"/>
              <w:keepNext w:val="0"/>
              <w:pageBreakBefore w:val="0"/>
              <w:spacing w:line="240" w:lineRule="auto"/>
              <w:widowControl w:val="off"/>
              <w:tabs>
                <w:tab w:val="left" w:pos="1200" w:leader="none"/>
              </w:tabs>
              <w:rPr>
                <w:rFonts w:hint="default" w:ascii="Times New Roman" w:hAnsi="Times New Roman" w:eastAsia="宋体" w:cs="Times New Roman"/>
                <w:b/>
                <w:bCs w:val="0"/>
                <w:color w:val="auto"/>
                <w:sz w:val="21"/>
                <w:szCs w:val="21"/>
                <w:highlight w:val="none"/>
                <w:lang w:val="en-US" w:eastAsia="zh-CN" w:bidi="ar-SA"/>
              </w:rPr>
            </w:pPr>
            <w:r>
              <w:rPr>
                <w:rFonts w:hint="default" w:ascii="Times New Roman" w:hAnsi="Times New Roman" w:eastAsia="宋体" w:cs="Times New Roman"/>
                <w:b/>
                <w:bCs w:val="0"/>
                <w:color w:val="auto"/>
                <w:sz w:val="21"/>
                <w:szCs w:val="21"/>
                <w:highlight w:val="none"/>
                <w:lang w:val="en-US" w:eastAsia="zh-CN" w:bidi="ar-SA"/>
              </w:rPr>
              <w:t xml:space="preserve">①对项目的质量控制保证措施的系统性和可行性进行评审：</w:t>
            </w:r>
            <w:r/>
          </w:p>
          <w:p>
            <w:pPr>
              <w:numPr>
                <w:ilvl w:val="0"/>
                <w:numId w:val="0"/>
              </w:numPr>
              <w:jc w:val="left"/>
              <w:keepLines w:val="0"/>
              <w:keepNext w:val="0"/>
              <w:pageBreakBefore w:val="0"/>
              <w:spacing w:line="240" w:lineRule="auto"/>
              <w:widowControl w:val="off"/>
              <w:tabs>
                <w:tab w:val="left" w:pos="1200" w:leader="none"/>
              </w:tabs>
              <w:rPr>
                <w:rFonts w:hint="default" w:ascii="Times New Roman" w:hAnsi="Times New Roman" w:eastAsia="宋体" w:cs="Times New Roman"/>
                <w:bCs/>
                <w:color w:val="auto"/>
                <w:sz w:val="21"/>
                <w:szCs w:val="21"/>
                <w:highlight w:val="none"/>
                <w:lang w:val="en-US" w:eastAsia="zh-CN" w:bidi="ar-SA"/>
              </w:rPr>
            </w:pPr>
            <w:r>
              <w:rPr>
                <w:rFonts w:hint="default" w:ascii="Times New Roman" w:hAnsi="Times New Roman" w:cs="Times New Roman"/>
                <w:bCs/>
                <w:color w:val="auto"/>
                <w:sz w:val="21"/>
                <w:szCs w:val="21"/>
                <w:highlight w:val="none"/>
                <w:lang w:val="en-US" w:eastAsia="zh-CN" w:bidi="ar-SA"/>
              </w:rPr>
              <w:t xml:space="preserve">1.</w:t>
            </w:r>
            <w:r>
              <w:rPr>
                <w:rFonts w:hint="default" w:ascii="Times New Roman" w:hAnsi="Times New Roman" w:eastAsia="宋体" w:cs="Times New Roman"/>
                <w:bCs/>
                <w:color w:val="auto"/>
                <w:sz w:val="21"/>
                <w:szCs w:val="21"/>
                <w:highlight w:val="none"/>
                <w:lang w:val="en-US" w:eastAsia="zh-CN" w:bidi="ar-SA"/>
              </w:rPr>
              <w:t xml:space="preserve">措施内容完整且逻辑清晰、科学且严密有效的得</w:t>
            </w:r>
            <w:r>
              <w:rPr>
                <w:rFonts w:hint="default" w:ascii="Times New Roman" w:hAnsi="Times New Roman" w:cs="Times New Roman"/>
                <w:bCs/>
                <w:color w:val="auto"/>
                <w:sz w:val="21"/>
                <w:szCs w:val="21"/>
                <w:highlight w:val="none"/>
                <w:lang w:val="en-US" w:eastAsia="zh-CN" w:bidi="ar-SA"/>
              </w:rPr>
              <w:t xml:space="preserve">8</w:t>
            </w:r>
            <w:r>
              <w:rPr>
                <w:rFonts w:hint="default" w:ascii="Times New Roman" w:hAnsi="Times New Roman" w:eastAsia="宋体" w:cs="Times New Roman"/>
                <w:bCs/>
                <w:color w:val="auto"/>
                <w:sz w:val="21"/>
                <w:szCs w:val="21"/>
                <w:highlight w:val="none"/>
                <w:lang w:val="en-US" w:eastAsia="zh-CN" w:bidi="ar-SA"/>
              </w:rPr>
              <w:t xml:space="preserve">分；</w:t>
            </w:r>
            <w:r/>
          </w:p>
          <w:p>
            <w:pPr>
              <w:numPr>
                <w:ilvl w:val="0"/>
                <w:numId w:val="0"/>
              </w:numPr>
              <w:jc w:val="left"/>
              <w:keepLines w:val="0"/>
              <w:keepNext w:val="0"/>
              <w:pageBreakBefore w:val="0"/>
              <w:spacing w:line="240" w:lineRule="auto"/>
              <w:widowControl w:val="off"/>
              <w:tabs>
                <w:tab w:val="left" w:pos="1200" w:leader="none"/>
              </w:tabs>
              <w:rPr>
                <w:rFonts w:hint="default" w:ascii="Times New Roman" w:hAnsi="Times New Roman" w:eastAsia="宋体" w:cs="Times New Roman"/>
                <w:bCs/>
                <w:color w:val="auto"/>
                <w:sz w:val="21"/>
                <w:szCs w:val="21"/>
                <w:highlight w:val="none"/>
                <w:lang w:val="en-US" w:eastAsia="zh-CN" w:bidi="ar-SA"/>
              </w:rPr>
            </w:pPr>
            <w:r>
              <w:rPr>
                <w:rFonts w:hint="default" w:ascii="Times New Roman" w:hAnsi="Times New Roman" w:cs="Times New Roman"/>
                <w:bCs/>
                <w:color w:val="auto"/>
                <w:sz w:val="21"/>
                <w:szCs w:val="21"/>
                <w:highlight w:val="none"/>
                <w:lang w:val="en-US" w:eastAsia="zh-CN" w:bidi="ar-SA"/>
              </w:rPr>
              <w:t xml:space="preserve">2.</w:t>
            </w:r>
            <w:r>
              <w:rPr>
                <w:rFonts w:hint="default" w:ascii="Times New Roman" w:hAnsi="Times New Roman" w:eastAsia="宋体" w:cs="Times New Roman"/>
                <w:bCs/>
                <w:color w:val="auto"/>
                <w:sz w:val="21"/>
                <w:szCs w:val="21"/>
                <w:highlight w:val="none"/>
                <w:lang w:val="en-US" w:eastAsia="zh-CN" w:bidi="ar-SA"/>
              </w:rPr>
              <w:t xml:space="preserve">措施内容稍有欠缺但逻辑清晰、措施合理且有效的得</w:t>
            </w:r>
            <w:r>
              <w:rPr>
                <w:rFonts w:hint="default" w:ascii="Times New Roman" w:hAnsi="Times New Roman" w:cs="Times New Roman"/>
                <w:bCs/>
                <w:color w:val="auto"/>
                <w:sz w:val="21"/>
                <w:szCs w:val="21"/>
                <w:highlight w:val="none"/>
                <w:lang w:val="en-US" w:eastAsia="zh-CN" w:bidi="ar-SA"/>
              </w:rPr>
              <w:t xml:space="preserve">5</w:t>
            </w:r>
            <w:r>
              <w:rPr>
                <w:rFonts w:hint="default" w:ascii="Times New Roman" w:hAnsi="Times New Roman" w:eastAsia="宋体" w:cs="Times New Roman"/>
                <w:bCs/>
                <w:color w:val="auto"/>
                <w:sz w:val="21"/>
                <w:szCs w:val="21"/>
                <w:highlight w:val="none"/>
                <w:lang w:val="en-US" w:eastAsia="zh-CN" w:bidi="ar-SA"/>
              </w:rPr>
              <w:t xml:space="preserve">分；</w:t>
            </w:r>
            <w:r/>
          </w:p>
          <w:p>
            <w:pPr>
              <w:numPr>
                <w:ilvl w:val="0"/>
                <w:numId w:val="0"/>
              </w:numPr>
              <w:jc w:val="left"/>
              <w:keepLines w:val="0"/>
              <w:keepNext w:val="0"/>
              <w:pageBreakBefore w:val="0"/>
              <w:spacing w:line="240" w:lineRule="auto"/>
              <w:widowControl w:val="off"/>
              <w:tabs>
                <w:tab w:val="left" w:pos="1200" w:leader="none"/>
              </w:tabs>
              <w:rPr>
                <w:rFonts w:hint="default" w:ascii="Times New Roman" w:hAnsi="Times New Roman" w:eastAsia="宋体" w:cs="Times New Roman"/>
                <w:bCs/>
                <w:color w:val="auto"/>
                <w:sz w:val="21"/>
                <w:szCs w:val="21"/>
                <w:highlight w:val="none"/>
                <w:lang w:val="en-US" w:eastAsia="zh-CN" w:bidi="ar-SA"/>
              </w:rPr>
            </w:pPr>
            <w:r>
              <w:rPr>
                <w:rFonts w:hint="default" w:ascii="Times New Roman" w:hAnsi="Times New Roman" w:cs="Times New Roman"/>
                <w:bCs/>
                <w:color w:val="auto"/>
                <w:sz w:val="21"/>
                <w:szCs w:val="21"/>
                <w:highlight w:val="none"/>
                <w:lang w:val="en-US" w:eastAsia="zh-CN" w:bidi="ar-SA"/>
              </w:rPr>
              <w:t xml:space="preserve">3.</w:t>
            </w:r>
            <w:r>
              <w:rPr>
                <w:rFonts w:hint="default" w:ascii="Times New Roman" w:hAnsi="Times New Roman" w:eastAsia="宋体" w:cs="Times New Roman"/>
                <w:bCs/>
                <w:color w:val="auto"/>
                <w:sz w:val="21"/>
                <w:szCs w:val="21"/>
                <w:highlight w:val="none"/>
                <w:lang w:val="en-US" w:eastAsia="zh-CN" w:bidi="ar-SA"/>
              </w:rPr>
              <w:t xml:space="preserve">内容不完整但基本可行，能达到采购目的得</w:t>
            </w:r>
            <w:r>
              <w:rPr>
                <w:rFonts w:hint="default" w:ascii="Times New Roman" w:hAnsi="Times New Roman" w:cs="Times New Roman"/>
                <w:bCs/>
                <w:color w:val="auto"/>
                <w:sz w:val="21"/>
                <w:szCs w:val="21"/>
                <w:highlight w:val="none"/>
                <w:lang w:val="en-US" w:eastAsia="zh-CN" w:bidi="ar-SA"/>
              </w:rPr>
              <w:t xml:space="preserve">3</w:t>
            </w:r>
            <w:r>
              <w:rPr>
                <w:rFonts w:hint="default" w:ascii="Times New Roman" w:hAnsi="Times New Roman" w:eastAsia="宋体" w:cs="Times New Roman"/>
                <w:bCs/>
                <w:color w:val="auto"/>
                <w:sz w:val="21"/>
                <w:szCs w:val="21"/>
                <w:highlight w:val="none"/>
                <w:lang w:val="en-US" w:eastAsia="zh-CN" w:bidi="ar-SA"/>
              </w:rPr>
              <w:t xml:space="preserve">分；</w:t>
            </w:r>
            <w:r/>
          </w:p>
          <w:p>
            <w:pPr>
              <w:numPr>
                <w:ilvl w:val="0"/>
                <w:numId w:val="0"/>
              </w:numPr>
              <w:jc w:val="left"/>
              <w:keepLines w:val="0"/>
              <w:keepNext w:val="0"/>
              <w:pageBreakBefore w:val="0"/>
              <w:spacing w:line="240" w:lineRule="auto"/>
              <w:widowControl w:val="off"/>
              <w:tabs>
                <w:tab w:val="left" w:pos="1200" w:leader="none"/>
              </w:tabs>
              <w:rPr>
                <w:rFonts w:hint="default" w:ascii="Times New Roman" w:hAnsi="Times New Roman" w:eastAsia="宋体" w:cs="Times New Roman"/>
                <w:bCs/>
                <w:color w:val="auto"/>
                <w:sz w:val="21"/>
                <w:szCs w:val="21"/>
                <w:highlight w:val="none"/>
                <w:lang w:val="en-US" w:eastAsia="zh-CN" w:bidi="ar-SA"/>
              </w:rPr>
            </w:pPr>
            <w:r>
              <w:rPr>
                <w:rFonts w:hint="default" w:ascii="Times New Roman" w:hAnsi="Times New Roman" w:cs="Times New Roman"/>
                <w:bCs/>
                <w:color w:val="auto"/>
                <w:sz w:val="21"/>
                <w:szCs w:val="21"/>
                <w:highlight w:val="none"/>
                <w:lang w:val="en-US" w:eastAsia="zh-CN" w:bidi="ar-SA"/>
              </w:rPr>
              <w:t xml:space="preserve">4.</w:t>
            </w:r>
            <w:r>
              <w:rPr>
                <w:rFonts w:hint="default" w:ascii="Times New Roman" w:hAnsi="Times New Roman" w:eastAsia="宋体" w:cs="Times New Roman"/>
                <w:bCs/>
                <w:color w:val="auto"/>
                <w:sz w:val="21"/>
                <w:szCs w:val="21"/>
                <w:highlight w:val="none"/>
                <w:lang w:val="en-US" w:eastAsia="zh-CN" w:bidi="ar-SA"/>
              </w:rPr>
              <w:t xml:space="preserve">未提供的不得分。</w:t>
            </w:r>
            <w:r/>
          </w:p>
          <w:p>
            <w:pPr>
              <w:jc w:val="left"/>
              <w:keepLines w:val="0"/>
              <w:keepNext w:val="0"/>
              <w:pageBreakBefore w:val="0"/>
              <w:spacing w:line="240" w:lineRule="auto"/>
              <w:widowControl w:val="off"/>
              <w:tabs>
                <w:tab w:val="left" w:pos="1200" w:leader="none"/>
              </w:tabs>
              <w:rPr>
                <w:rFonts w:hint="default" w:ascii="Times New Roman" w:hAnsi="Times New Roman" w:cs="Times New Roman"/>
                <w:b/>
                <w:bCs w:val="0"/>
                <w:color w:val="auto"/>
                <w:sz w:val="21"/>
                <w:szCs w:val="21"/>
                <w:highlight w:val="none"/>
                <w:lang w:val="en-US" w:eastAsia="zh-CN" w:bidi="ar-SA"/>
              </w:rPr>
            </w:pPr>
            <w:r>
              <w:rPr>
                <w:rFonts w:hint="default" w:ascii="Times New Roman" w:hAnsi="Times New Roman" w:eastAsia="宋体" w:cs="Times New Roman"/>
                <w:b/>
                <w:bCs w:val="0"/>
                <w:color w:val="auto"/>
                <w:sz w:val="21"/>
                <w:szCs w:val="21"/>
                <w:highlight w:val="none"/>
                <w:lang w:val="en-US" w:eastAsia="zh-CN" w:bidi="ar-SA"/>
              </w:rPr>
              <w:t xml:space="preserve">②对项目的进度控制保证措施的完整性和可行性进行评审</w:t>
            </w:r>
            <w:r>
              <w:rPr>
                <w:rFonts w:hint="default" w:ascii="Times New Roman" w:hAnsi="Times New Roman" w:cs="Times New Roman"/>
                <w:b/>
                <w:bCs w:val="0"/>
                <w:color w:val="auto"/>
                <w:sz w:val="21"/>
                <w:szCs w:val="21"/>
                <w:highlight w:val="none"/>
                <w:lang w:val="en-US" w:eastAsia="zh-CN" w:bidi="ar-SA"/>
              </w:rPr>
              <w:t xml:space="preserve">：</w:t>
            </w:r>
            <w:r/>
          </w:p>
          <w:p>
            <w:pPr>
              <w:numPr>
                <w:ilvl w:val="0"/>
                <w:numId w:val="0"/>
              </w:numPr>
              <w:jc w:val="left"/>
              <w:keepLines w:val="0"/>
              <w:keepNext w:val="0"/>
              <w:pageBreakBefore w:val="0"/>
              <w:spacing w:line="240" w:lineRule="auto"/>
              <w:widowControl w:val="off"/>
              <w:tabs>
                <w:tab w:val="left" w:pos="1200" w:leader="none"/>
              </w:tabs>
              <w:rPr>
                <w:rFonts w:hint="default" w:ascii="Times New Roman" w:hAnsi="Times New Roman" w:eastAsia="宋体" w:cs="Times New Roman"/>
                <w:bCs/>
                <w:color w:val="auto"/>
                <w:sz w:val="21"/>
                <w:szCs w:val="21"/>
                <w:highlight w:val="none"/>
                <w:lang w:val="en-US" w:eastAsia="zh-CN" w:bidi="ar-SA"/>
              </w:rPr>
            </w:pPr>
            <w:r>
              <w:rPr>
                <w:rFonts w:hint="default" w:ascii="Times New Roman" w:hAnsi="Times New Roman" w:cs="Times New Roman"/>
                <w:bCs/>
                <w:color w:val="auto"/>
                <w:sz w:val="21"/>
                <w:szCs w:val="21"/>
                <w:highlight w:val="none"/>
                <w:lang w:val="en-US" w:eastAsia="zh-CN" w:bidi="ar-SA"/>
              </w:rPr>
              <w:t xml:space="preserve">1.</w:t>
            </w:r>
            <w:r>
              <w:rPr>
                <w:rFonts w:hint="default" w:ascii="Times New Roman" w:hAnsi="Times New Roman" w:eastAsia="宋体" w:cs="Times New Roman"/>
                <w:bCs/>
                <w:color w:val="auto"/>
                <w:sz w:val="21"/>
                <w:szCs w:val="21"/>
                <w:highlight w:val="none"/>
                <w:lang w:val="en-US" w:eastAsia="zh-CN" w:bidi="ar-SA"/>
              </w:rPr>
              <w:t xml:space="preserve">措施内容完整且步序逻辑清晰的得</w:t>
            </w:r>
            <w:r>
              <w:rPr>
                <w:rFonts w:hint="default" w:ascii="Times New Roman" w:hAnsi="Times New Roman" w:cs="Times New Roman"/>
                <w:bCs/>
                <w:color w:val="auto"/>
                <w:sz w:val="21"/>
                <w:szCs w:val="21"/>
                <w:highlight w:val="none"/>
                <w:lang w:val="en-US" w:eastAsia="zh-CN" w:bidi="ar-SA"/>
              </w:rPr>
              <w:t xml:space="preserve">8</w:t>
            </w:r>
            <w:r>
              <w:rPr>
                <w:rFonts w:hint="default" w:ascii="Times New Roman" w:hAnsi="Times New Roman" w:eastAsia="宋体" w:cs="Times New Roman"/>
                <w:bCs/>
                <w:color w:val="auto"/>
                <w:sz w:val="21"/>
                <w:szCs w:val="21"/>
                <w:highlight w:val="none"/>
                <w:lang w:val="en-US" w:eastAsia="zh-CN" w:bidi="ar-SA"/>
              </w:rPr>
              <w:t xml:space="preserve">分；</w:t>
            </w:r>
            <w:r/>
          </w:p>
          <w:p>
            <w:pPr>
              <w:numPr>
                <w:ilvl w:val="0"/>
                <w:numId w:val="0"/>
              </w:numPr>
              <w:jc w:val="left"/>
              <w:keepLines w:val="0"/>
              <w:keepNext w:val="0"/>
              <w:pageBreakBefore w:val="0"/>
              <w:spacing w:line="240" w:lineRule="auto"/>
              <w:widowControl w:val="off"/>
              <w:tabs>
                <w:tab w:val="left" w:pos="1200" w:leader="none"/>
              </w:tabs>
              <w:rPr>
                <w:rFonts w:hint="default" w:ascii="Times New Roman" w:hAnsi="Times New Roman" w:eastAsia="宋体" w:cs="Times New Roman"/>
                <w:bCs/>
                <w:color w:val="auto"/>
                <w:sz w:val="21"/>
                <w:szCs w:val="21"/>
                <w:highlight w:val="none"/>
                <w:lang w:val="en-US" w:eastAsia="zh-CN" w:bidi="ar-SA"/>
              </w:rPr>
            </w:pPr>
            <w:r>
              <w:rPr>
                <w:rFonts w:hint="default" w:ascii="Times New Roman" w:hAnsi="Times New Roman" w:cs="Times New Roman"/>
                <w:bCs/>
                <w:color w:val="auto"/>
                <w:sz w:val="21"/>
                <w:szCs w:val="21"/>
                <w:highlight w:val="none"/>
                <w:lang w:val="en-US" w:eastAsia="zh-CN" w:bidi="ar-SA"/>
              </w:rPr>
              <w:t xml:space="preserve">2.</w:t>
            </w:r>
            <w:r>
              <w:rPr>
                <w:rFonts w:hint="default" w:ascii="Times New Roman" w:hAnsi="Times New Roman" w:eastAsia="宋体" w:cs="Times New Roman"/>
                <w:bCs/>
                <w:color w:val="auto"/>
                <w:sz w:val="21"/>
                <w:szCs w:val="21"/>
                <w:highlight w:val="none"/>
                <w:lang w:val="en-US" w:eastAsia="zh-CN" w:bidi="ar-SA"/>
              </w:rPr>
              <w:t xml:space="preserve">措施内容及重要节点明确且可行的得</w:t>
            </w:r>
            <w:r>
              <w:rPr>
                <w:rFonts w:hint="default" w:ascii="Times New Roman" w:hAnsi="Times New Roman" w:cs="Times New Roman"/>
                <w:bCs/>
                <w:color w:val="auto"/>
                <w:sz w:val="21"/>
                <w:szCs w:val="21"/>
                <w:highlight w:val="none"/>
                <w:lang w:val="en-US" w:eastAsia="zh-CN" w:bidi="ar-SA"/>
              </w:rPr>
              <w:t xml:space="preserve">5</w:t>
            </w:r>
            <w:r>
              <w:rPr>
                <w:rFonts w:hint="default" w:ascii="Times New Roman" w:hAnsi="Times New Roman" w:eastAsia="宋体" w:cs="Times New Roman"/>
                <w:bCs/>
                <w:color w:val="auto"/>
                <w:sz w:val="21"/>
                <w:szCs w:val="21"/>
                <w:highlight w:val="none"/>
                <w:lang w:val="en-US" w:eastAsia="zh-CN" w:bidi="ar-SA"/>
              </w:rPr>
              <w:t xml:space="preserve">分；</w:t>
            </w:r>
            <w:r/>
          </w:p>
          <w:p>
            <w:pPr>
              <w:numPr>
                <w:ilvl w:val="0"/>
                <w:numId w:val="0"/>
              </w:numPr>
              <w:jc w:val="left"/>
              <w:keepLines w:val="0"/>
              <w:keepNext w:val="0"/>
              <w:pageBreakBefore w:val="0"/>
              <w:spacing w:line="240" w:lineRule="auto"/>
              <w:widowControl w:val="off"/>
              <w:tabs>
                <w:tab w:val="left" w:pos="1200" w:leader="none"/>
              </w:tabs>
              <w:rPr>
                <w:rFonts w:hint="default" w:ascii="Times New Roman" w:hAnsi="Times New Roman" w:eastAsia="宋体" w:cs="Times New Roman"/>
                <w:bCs/>
                <w:color w:val="auto"/>
                <w:sz w:val="21"/>
                <w:szCs w:val="21"/>
                <w:highlight w:val="none"/>
                <w:lang w:val="en-US" w:eastAsia="zh-CN" w:bidi="ar-SA"/>
              </w:rPr>
            </w:pPr>
            <w:r>
              <w:rPr>
                <w:rFonts w:hint="default" w:ascii="Times New Roman" w:hAnsi="Times New Roman" w:cs="Times New Roman"/>
                <w:bCs/>
                <w:color w:val="auto"/>
                <w:sz w:val="21"/>
                <w:szCs w:val="21"/>
                <w:highlight w:val="none"/>
                <w:lang w:val="en-US" w:eastAsia="zh-CN" w:bidi="ar-SA"/>
              </w:rPr>
              <w:t xml:space="preserve">3.</w:t>
            </w:r>
            <w:r>
              <w:rPr>
                <w:rFonts w:hint="default" w:ascii="Times New Roman" w:hAnsi="Times New Roman" w:eastAsia="宋体" w:cs="Times New Roman"/>
                <w:bCs/>
                <w:color w:val="auto"/>
                <w:sz w:val="21"/>
                <w:szCs w:val="21"/>
                <w:highlight w:val="none"/>
                <w:lang w:val="en-US" w:eastAsia="zh-CN" w:bidi="ar-SA"/>
              </w:rPr>
              <w:t xml:space="preserve">措施内容不完整但基本可行，能达到采购目的的得</w:t>
            </w:r>
            <w:r>
              <w:rPr>
                <w:rFonts w:hint="default" w:ascii="Times New Roman" w:hAnsi="Times New Roman" w:cs="Times New Roman"/>
                <w:bCs/>
                <w:color w:val="auto"/>
                <w:sz w:val="21"/>
                <w:szCs w:val="21"/>
                <w:highlight w:val="none"/>
                <w:lang w:val="en-US" w:eastAsia="zh-CN" w:bidi="ar-SA"/>
              </w:rPr>
              <w:t xml:space="preserve">3</w:t>
            </w:r>
            <w:r>
              <w:rPr>
                <w:rFonts w:hint="default" w:ascii="Times New Roman" w:hAnsi="Times New Roman" w:eastAsia="宋体" w:cs="Times New Roman"/>
                <w:bCs/>
                <w:color w:val="auto"/>
                <w:sz w:val="21"/>
                <w:szCs w:val="21"/>
                <w:highlight w:val="none"/>
                <w:lang w:val="en-US" w:eastAsia="zh-CN" w:bidi="ar-SA"/>
              </w:rPr>
              <w:t xml:space="preserve">分；</w:t>
            </w:r>
            <w:r/>
          </w:p>
          <w:p>
            <w:pPr>
              <w:numPr>
                <w:ilvl w:val="0"/>
                <w:numId w:val="0"/>
              </w:numPr>
              <w:jc w:val="left"/>
              <w:keepLines w:val="0"/>
              <w:keepNext w:val="0"/>
              <w:pageBreakBefore w:val="0"/>
              <w:spacing w:line="240" w:lineRule="auto"/>
              <w:widowControl w:val="off"/>
              <w:tabs>
                <w:tab w:val="left" w:pos="1200" w:leader="none"/>
              </w:tabs>
              <w:rPr>
                <w:rFonts w:hint="default" w:ascii="Times New Roman" w:hAnsi="Times New Roman" w:eastAsia="宋体" w:cs="Times New Roman"/>
                <w:color w:val="auto"/>
                <w:sz w:val="21"/>
                <w:szCs w:val="21"/>
                <w:highlight w:val="none"/>
              </w:rPr>
            </w:pPr>
            <w:r>
              <w:rPr>
                <w:rFonts w:hint="default" w:ascii="Times New Roman" w:hAnsi="Times New Roman" w:cs="Times New Roman"/>
                <w:bCs/>
                <w:color w:val="auto"/>
                <w:sz w:val="21"/>
                <w:szCs w:val="21"/>
                <w:highlight w:val="none"/>
                <w:lang w:val="en-US" w:eastAsia="zh-CN" w:bidi="ar-SA"/>
              </w:rPr>
              <w:t xml:space="preserve">4.</w:t>
            </w:r>
            <w:r>
              <w:rPr>
                <w:rFonts w:hint="default" w:ascii="Times New Roman" w:hAnsi="Times New Roman" w:eastAsia="宋体" w:cs="Times New Roman"/>
                <w:bCs/>
                <w:color w:val="auto"/>
                <w:sz w:val="21"/>
                <w:szCs w:val="21"/>
                <w:highlight w:val="none"/>
                <w:lang w:val="en-US" w:eastAsia="zh-CN" w:bidi="ar-SA"/>
              </w:rPr>
              <w:t xml:space="preserve">未提供的不得分。</w:t>
            </w:r>
            <w:r/>
          </w:p>
        </w:tc>
      </w:tr>
      <w:tr>
        <w:trPr>
          <w:cantSplit/>
          <w:trHeight w:val="2294"/>
        </w:trPr>
        <w:tc>
          <w:tcPr>
            <w:tcBorders>
              <w:left w:val="single" w:color="auto" w:sz="4" w:space="0"/>
              <w:right w:val="single" w:color="auto" w:sz="4" w:space="0"/>
            </w:tcBorders>
            <w:tcW w:w="785" w:type="dxa"/>
            <w:vAlign w:val="center"/>
            <w:textDirection w:val="lrTb"/>
            <w:noWrap w:val="false"/>
          </w:tcPr>
          <w:p>
            <w:pPr>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 xml:space="preserve">9</w:t>
            </w:r>
            <w:r/>
          </w:p>
        </w:tc>
        <w:tc>
          <w:tcPr>
            <w:tcBorders>
              <w:left w:val="single" w:color="auto" w:sz="4" w:space="0"/>
              <w:right w:val="single" w:color="auto" w:sz="4" w:space="0"/>
            </w:tcBorders>
            <w:tcW w:w="1547" w:type="dxa"/>
            <w:vAlign w:val="center"/>
            <w:textDirection w:val="lrTb"/>
            <w:noWrap w:val="false"/>
          </w:tcPr>
          <w:p>
            <w:pPr>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安全和应急</w:t>
            </w:r>
            <w:r/>
          </w:p>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 xml:space="preserve">管理方案</w:t>
            </w:r>
            <w:r/>
          </w:p>
        </w:tc>
        <w:tc>
          <w:tcPr>
            <w:tcBorders>
              <w:left w:val="single" w:color="auto" w:sz="4" w:space="0"/>
              <w:right w:val="single" w:color="auto" w:sz="4" w:space="0"/>
            </w:tcBorders>
            <w:tcW w:w="795" w:type="dxa"/>
            <w:vAlign w:val="center"/>
            <w:textDirection w:val="lrTb"/>
            <w:noWrap w:val="false"/>
          </w:tcPr>
          <w:p>
            <w:pPr>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 xml:space="preserve">8</w:t>
            </w:r>
            <w:r>
              <w:rPr>
                <w:rFonts w:hint="default" w:ascii="Times New Roman" w:hAnsi="Times New Roman" w:eastAsia="宋体" w:cs="Times New Roman"/>
                <w:color w:val="auto"/>
                <w:sz w:val="21"/>
                <w:szCs w:val="21"/>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6953" w:type="dxa"/>
            <w:vAlign w:val="center"/>
            <w:textDirection w:val="lrTb"/>
            <w:noWrap w:val="false"/>
          </w:tcPr>
          <w:p>
            <w:pPr>
              <w:jc w:val="left"/>
              <w:rPr>
                <w:rFonts w:hint="default" w:ascii="Times New Roman" w:hAnsi="Times New Roman" w:eastAsia="宋体" w:cs="Times New Roman"/>
                <w:bCs/>
                <w:color w:val="auto"/>
                <w:sz w:val="21"/>
                <w:szCs w:val="21"/>
                <w:highlight w:val="none"/>
                <w:lang w:val="en-US" w:eastAsia="zh-CN" w:bidi="ar-SA"/>
              </w:rPr>
            </w:pPr>
            <w:r>
              <w:rPr>
                <w:rFonts w:hint="default" w:ascii="Times New Roman" w:hAnsi="Times New Roman" w:eastAsia="宋体" w:cs="Times New Roman"/>
                <w:bCs/>
                <w:color w:val="auto"/>
                <w:sz w:val="21"/>
                <w:szCs w:val="21"/>
                <w:highlight w:val="none"/>
                <w:lang w:val="en-US" w:eastAsia="zh-CN" w:bidi="ar-SA"/>
              </w:rPr>
              <w:t xml:space="preserve">对项目突发事件的预测及分析、处理方案及安全预案的制订进行评审：</w:t>
            </w:r>
            <w:r/>
          </w:p>
          <w:p>
            <w:pPr>
              <w:numPr>
                <w:ilvl w:val="0"/>
                <w:numId w:val="0"/>
              </w:numPr>
              <w:jc w:val="left"/>
              <w:rPr>
                <w:rFonts w:hint="default" w:ascii="Times New Roman" w:hAnsi="Times New Roman" w:eastAsia="宋体" w:cs="Times New Roman"/>
                <w:bCs/>
                <w:color w:val="auto"/>
                <w:sz w:val="21"/>
                <w:szCs w:val="21"/>
                <w:highlight w:val="none"/>
                <w:lang w:val="en-US" w:eastAsia="zh-CN" w:bidi="ar-SA"/>
              </w:rPr>
            </w:pPr>
            <w:r>
              <w:rPr>
                <w:rFonts w:hint="default" w:ascii="Times New Roman" w:hAnsi="Times New Roman" w:eastAsia="宋体" w:cs="Times New Roman"/>
                <w:bCs/>
                <w:color w:val="auto"/>
                <w:sz w:val="21"/>
                <w:szCs w:val="21"/>
                <w:highlight w:val="none"/>
                <w:lang w:val="en-US" w:eastAsia="zh-CN" w:bidi="ar-SA"/>
              </w:rPr>
              <w:t xml:space="preserve">1.预测及分析全面准确、处理方案及安全预案详细、合理且有效得</w:t>
            </w:r>
            <w:r>
              <w:rPr>
                <w:rFonts w:hint="default" w:ascii="Times New Roman" w:hAnsi="Times New Roman" w:cs="Times New Roman"/>
                <w:bCs/>
                <w:color w:val="auto"/>
                <w:sz w:val="21"/>
                <w:szCs w:val="21"/>
                <w:highlight w:val="none"/>
                <w:lang w:val="en-US" w:eastAsia="zh-CN" w:bidi="ar-SA"/>
              </w:rPr>
              <w:t xml:space="preserve">8</w:t>
            </w:r>
            <w:r>
              <w:rPr>
                <w:rFonts w:hint="default" w:ascii="Times New Roman" w:hAnsi="Times New Roman" w:eastAsia="宋体" w:cs="Times New Roman"/>
                <w:bCs/>
                <w:color w:val="auto"/>
                <w:sz w:val="21"/>
                <w:szCs w:val="21"/>
                <w:highlight w:val="none"/>
                <w:lang w:val="en-US" w:eastAsia="zh-CN" w:bidi="ar-SA"/>
              </w:rPr>
              <w:t xml:space="preserve">分；</w:t>
            </w:r>
            <w:r>
              <w:rPr>
                <w:rFonts w:hint="default" w:ascii="Times New Roman" w:hAnsi="Times New Roman" w:cs="Times New Roman"/>
                <w:bCs/>
                <w:color w:val="auto"/>
                <w:sz w:val="21"/>
                <w:szCs w:val="21"/>
                <w:highlight w:val="none"/>
                <w:lang w:val="en-US" w:eastAsia="zh-CN" w:bidi="ar-SA"/>
              </w:rPr>
              <w:t xml:space="preserve">2.</w:t>
            </w:r>
            <w:r>
              <w:rPr>
                <w:rFonts w:hint="default" w:ascii="Times New Roman" w:hAnsi="Times New Roman" w:eastAsia="宋体" w:cs="Times New Roman"/>
                <w:bCs/>
                <w:color w:val="auto"/>
                <w:sz w:val="21"/>
                <w:szCs w:val="21"/>
                <w:highlight w:val="none"/>
                <w:lang w:val="en-US" w:eastAsia="zh-CN" w:bidi="ar-SA"/>
              </w:rPr>
              <w:t xml:space="preserve">预测及分析较全面，准确性较强、处理方案及安全预案可行、能基本避免风险的得</w:t>
            </w:r>
            <w:r>
              <w:rPr>
                <w:rFonts w:hint="default" w:ascii="Times New Roman" w:hAnsi="Times New Roman" w:cs="Times New Roman"/>
                <w:bCs/>
                <w:color w:val="auto"/>
                <w:sz w:val="21"/>
                <w:szCs w:val="21"/>
                <w:highlight w:val="none"/>
                <w:lang w:val="en-US" w:eastAsia="zh-CN" w:bidi="ar-SA"/>
              </w:rPr>
              <w:t xml:space="preserve">5</w:t>
            </w:r>
            <w:r>
              <w:rPr>
                <w:rFonts w:hint="default" w:ascii="Times New Roman" w:hAnsi="Times New Roman" w:eastAsia="宋体" w:cs="Times New Roman"/>
                <w:bCs/>
                <w:color w:val="auto"/>
                <w:sz w:val="21"/>
                <w:szCs w:val="21"/>
                <w:highlight w:val="none"/>
                <w:lang w:val="en-US" w:eastAsia="zh-CN" w:bidi="ar-SA"/>
              </w:rPr>
              <w:t xml:space="preserve">分；</w:t>
            </w:r>
            <w:r/>
          </w:p>
          <w:p>
            <w:pPr>
              <w:numPr>
                <w:ilvl w:val="0"/>
                <w:numId w:val="0"/>
              </w:numPr>
              <w:ind w:left="0" w:firstLine="0"/>
              <w:jc w:val="left"/>
              <w:rPr>
                <w:rFonts w:hint="default" w:ascii="Times New Roman" w:hAnsi="Times New Roman" w:eastAsia="宋体" w:cs="Times New Roman"/>
                <w:bCs/>
                <w:color w:val="auto"/>
                <w:sz w:val="21"/>
                <w:szCs w:val="21"/>
                <w:highlight w:val="none"/>
                <w:lang w:val="en-US" w:eastAsia="zh-CN" w:bidi="ar-SA"/>
              </w:rPr>
            </w:pPr>
            <w:r>
              <w:rPr>
                <w:rFonts w:hint="default" w:ascii="Times New Roman" w:hAnsi="Times New Roman" w:cs="Times New Roman"/>
                <w:bCs/>
                <w:color w:val="auto"/>
                <w:sz w:val="21"/>
                <w:szCs w:val="21"/>
                <w:highlight w:val="none"/>
                <w:lang w:val="en-US" w:eastAsia="zh-CN" w:bidi="ar-SA"/>
              </w:rPr>
              <w:t xml:space="preserve">3</w:t>
            </w:r>
            <w:r>
              <w:rPr>
                <w:rFonts w:hint="default" w:ascii="Times New Roman" w:hAnsi="Times New Roman" w:eastAsia="宋体" w:cs="Times New Roman"/>
                <w:bCs/>
                <w:color w:val="auto"/>
                <w:sz w:val="21"/>
                <w:szCs w:val="21"/>
                <w:highlight w:val="none"/>
                <w:lang w:val="en-US" w:eastAsia="zh-CN" w:bidi="ar-SA"/>
              </w:rPr>
              <w:t xml:space="preserve">.预测及分析不到位，处理方案及安全预案可行，但仍存在一定风险的得</w:t>
            </w:r>
            <w:r>
              <w:rPr>
                <w:rFonts w:hint="default" w:ascii="Times New Roman" w:hAnsi="Times New Roman" w:cs="Times New Roman"/>
                <w:bCs/>
                <w:color w:val="auto"/>
                <w:sz w:val="21"/>
                <w:szCs w:val="21"/>
                <w:highlight w:val="none"/>
                <w:lang w:val="en-US" w:eastAsia="zh-CN" w:bidi="ar-SA"/>
              </w:rPr>
              <w:t xml:space="preserve">3</w:t>
            </w:r>
            <w:r>
              <w:rPr>
                <w:rFonts w:hint="default" w:ascii="Times New Roman" w:hAnsi="Times New Roman" w:eastAsia="宋体" w:cs="Times New Roman"/>
                <w:bCs/>
                <w:color w:val="auto"/>
                <w:sz w:val="21"/>
                <w:szCs w:val="21"/>
                <w:highlight w:val="none"/>
                <w:lang w:val="en-US" w:eastAsia="zh-CN" w:bidi="ar-SA"/>
              </w:rPr>
              <w:t xml:space="preserve">分；</w:t>
            </w:r>
            <w:r/>
          </w:p>
          <w:p>
            <w:pPr>
              <w:numPr>
                <w:ilvl w:val="0"/>
                <w:numId w:val="0"/>
              </w:numPr>
              <w:ind w:left="0" w:firstLine="0"/>
              <w:jc w:val="left"/>
              <w:rPr>
                <w:rFonts w:hint="default" w:ascii="Times New Roman" w:hAnsi="Times New Roman" w:eastAsia="宋体" w:cs="Times New Roman"/>
                <w:bCs/>
                <w:color w:val="auto"/>
                <w:sz w:val="21"/>
                <w:szCs w:val="21"/>
                <w:highlight w:val="none"/>
                <w:lang w:val="en-US" w:eastAsia="zh-CN"/>
              </w:rPr>
            </w:pPr>
            <w:r>
              <w:rPr>
                <w:rFonts w:hint="default" w:ascii="Times New Roman" w:hAnsi="Times New Roman" w:cs="Times New Roman"/>
                <w:bCs/>
                <w:color w:val="auto"/>
                <w:sz w:val="21"/>
                <w:szCs w:val="21"/>
                <w:highlight w:val="none"/>
                <w:lang w:val="en-US" w:eastAsia="zh-CN" w:bidi="ar-SA"/>
              </w:rPr>
              <w:t xml:space="preserve">4.</w:t>
            </w:r>
            <w:r>
              <w:rPr>
                <w:rFonts w:hint="default" w:ascii="Times New Roman" w:hAnsi="Times New Roman" w:eastAsia="宋体" w:cs="Times New Roman"/>
                <w:bCs/>
                <w:color w:val="auto"/>
                <w:sz w:val="21"/>
                <w:szCs w:val="21"/>
                <w:highlight w:val="none"/>
                <w:lang w:val="en-US" w:eastAsia="zh-CN" w:bidi="ar-SA"/>
              </w:rPr>
              <w:t xml:space="preserve">未提供的不得分。</w:t>
            </w:r>
            <w:r/>
          </w:p>
        </w:tc>
      </w:tr>
    </w:tbl>
    <w:p>
      <w:pPr>
        <w:spacing w:line="520" w:lineRule="exact"/>
        <w:tabs>
          <w:tab w:val="left" w:pos="2850" w:leader="none"/>
          <w:tab w:val="center" w:pos="4153"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w:t>
      </w:r>
      <w:r>
        <w:rPr>
          <w:rFonts w:hint="eastAsia" w:ascii="宋体" w:hAnsi="宋体" w:eastAsia="宋体" w:cs="宋体"/>
          <w:b/>
          <w:bCs/>
          <w:color w:val="auto"/>
          <w:sz w:val="24"/>
          <w:szCs w:val="24"/>
          <w:highlight w:val="none"/>
        </w:rPr>
        <w:t xml:space="preserve">以上评标办法中所涉及到的相关业绩证明材料、企业及人员证书等，</w:t>
      </w:r>
      <w:r>
        <w:rPr>
          <w:rFonts w:hint="eastAsia" w:ascii="宋体" w:hAnsi="宋体" w:cs="宋体"/>
          <w:b/>
          <w:bCs/>
          <w:color w:val="auto"/>
          <w:sz w:val="24"/>
          <w:szCs w:val="24"/>
          <w:highlight w:val="none"/>
          <w:lang w:val="en-US" w:eastAsia="zh-CN"/>
        </w:rPr>
        <w:t xml:space="preserve">采购人有权</w:t>
      </w:r>
      <w:r>
        <w:rPr>
          <w:rFonts w:hint="eastAsia" w:ascii="宋体" w:hAnsi="宋体" w:eastAsia="宋体" w:cs="宋体"/>
          <w:b/>
          <w:bCs/>
          <w:color w:val="auto"/>
          <w:sz w:val="24"/>
          <w:szCs w:val="24"/>
          <w:highlight w:val="none"/>
        </w:rPr>
        <w:t xml:space="preserve">在成交后</w:t>
      </w:r>
      <w:r>
        <w:rPr>
          <w:rFonts w:hint="eastAsia" w:ascii="宋体" w:hAnsi="宋体" w:cs="宋体"/>
          <w:b/>
          <w:bCs/>
          <w:strike w:val="0"/>
          <w:color w:val="auto"/>
          <w:sz w:val="24"/>
          <w:szCs w:val="24"/>
          <w:highlight w:val="none"/>
          <w:lang w:val="en-US" w:eastAsia="zh-CN"/>
        </w:rPr>
        <w:t xml:space="preserve">要求成交供应商</w:t>
      </w:r>
      <w:r>
        <w:rPr>
          <w:rFonts w:hint="eastAsia" w:ascii="宋体" w:hAnsi="宋体" w:eastAsia="宋体" w:cs="宋体"/>
          <w:b/>
          <w:bCs/>
          <w:color w:val="auto"/>
          <w:sz w:val="24"/>
          <w:szCs w:val="24"/>
          <w:highlight w:val="none"/>
        </w:rPr>
        <w:t xml:space="preserve">提供所有原件核查。若不能按</w:t>
      </w:r>
      <w:r>
        <w:rPr>
          <w:rFonts w:hint="eastAsia" w:ascii="宋体" w:hAnsi="宋体" w:cs="宋体"/>
          <w:b/>
          <w:bCs/>
          <w:color w:val="auto"/>
          <w:sz w:val="24"/>
          <w:szCs w:val="24"/>
          <w:highlight w:val="none"/>
          <w:lang w:val="en-US" w:eastAsia="zh-CN"/>
        </w:rPr>
        <w:t xml:space="preserve">要求</w:t>
      </w:r>
      <w:r>
        <w:rPr>
          <w:rFonts w:hint="eastAsia" w:ascii="宋体" w:hAnsi="宋体" w:eastAsia="宋体" w:cs="宋体"/>
          <w:b/>
          <w:bCs/>
          <w:color w:val="auto"/>
          <w:sz w:val="24"/>
          <w:szCs w:val="24"/>
          <w:highlight w:val="none"/>
        </w:rPr>
        <w:t xml:space="preserve">提供或提供虚假材料的，采购人有权取消其成交资格。</w:t>
      </w:r>
      <w:r/>
    </w:p>
    <w:p>
      <w:pPr>
        <w:jc w:val="center"/>
        <w:rPr>
          <w:rFonts w:hint="eastAsia" w:ascii="宋体" w:hAnsi="宋体" w:eastAsia="宋体" w:cs="宋体"/>
          <w:color w:val="auto"/>
          <w:sz w:val="44"/>
          <w:szCs w:val="44"/>
          <w:highlight w:val="none"/>
        </w:rPr>
        <w:outlineLvl w:val="0"/>
      </w:pPr>
      <w:r/>
      <w:bookmarkStart w:id="189" w:name="_Toc28376"/>
      <w:r/>
      <w:r/>
    </w:p>
    <w:p>
      <w:pPr>
        <w:pStyle w:val="937"/>
        <w:rPr>
          <w:rFonts w:hint="eastAsia"/>
          <w:color w:val="auto"/>
          <w:highlight w:val="none"/>
        </w:rPr>
      </w:pPr>
      <w:r>
        <w:rPr>
          <w:rFonts w:hint="eastAsia"/>
          <w:color w:val="auto"/>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rPr>
          <w:rFonts w:hint="eastAsia"/>
          <w:highlight w:val="none"/>
        </w:rPr>
      </w:pPr>
      <w:r>
        <w:rPr>
          <w:rFonts w:hint="eastAsia"/>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t xml:space="preserve">第六章  响应文件格式</w:t>
      </w:r>
      <w:bookmarkEnd w:id="189"/>
      <w:r/>
      <w:r/>
    </w:p>
    <w:p>
      <w:pPr>
        <w:pStyle w:val="935"/>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6"/>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4"/>
          <w:szCs w:val="24"/>
          <w:highlight w:val="none"/>
        </w:rPr>
      </w:pPr>
      <w:r/>
      <w:bookmarkStart w:id="190" w:name="_Toc120614282"/>
      <w:r/>
      <w:bookmarkEnd w:id="190"/>
      <w:r/>
      <w:bookmarkStart w:id="191" w:name="_Hlt26671244"/>
      <w:r/>
      <w:bookmarkEnd w:id="191"/>
      <w:r/>
      <w:bookmarkStart w:id="192" w:name="_Hlt26955039"/>
      <w:r/>
      <w:bookmarkEnd w:id="192"/>
      <w:r/>
      <w:bookmarkStart w:id="193" w:name="_Toc49090576"/>
      <w:r/>
      <w:bookmarkEnd w:id="193"/>
      <w:r/>
      <w:bookmarkStart w:id="194" w:name="_Toc26554094"/>
      <w:r/>
      <w:bookmarkEnd w:id="194"/>
      <w:r>
        <w:rPr>
          <w:rFonts w:hint="eastAsia" w:ascii="宋体" w:hAnsi="宋体" w:eastAsia="宋体" w:cs="宋体"/>
          <w:b/>
          <w:bCs/>
          <w:color w:val="auto"/>
          <w:sz w:val="72"/>
          <w:szCs w:val="72"/>
          <w:highlight w:val="none"/>
        </w:rPr>
        <w:t xml:space="preserve">响  应  文  件</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935"/>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5"/>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1285"/>
        <w:jc w:val="left"/>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项 目 名 称：</w:t>
      </w:r>
      <w:r>
        <w:rPr>
          <w:rFonts w:hint="eastAsia" w:ascii="宋体" w:hAnsi="宋体" w:eastAsia="宋体" w:cs="宋体"/>
          <w:b/>
          <w:bCs/>
          <w:color w:val="auto"/>
          <w:sz w:val="32"/>
          <w:szCs w:val="32"/>
          <w:highlight w:val="none"/>
          <w:u w:val="single"/>
        </w:rPr>
        <w:t xml:space="preserve">               </w:t>
      </w:r>
      <w:r/>
    </w:p>
    <w:p>
      <w:pPr>
        <w:ind w:firstLine="1285"/>
        <w:jc w:val="left"/>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项 目 编 号：</w:t>
      </w:r>
      <w:r>
        <w:rPr>
          <w:rFonts w:hint="eastAsia" w:ascii="宋体" w:hAnsi="宋体" w:eastAsia="宋体" w:cs="宋体"/>
          <w:b/>
          <w:bCs/>
          <w:color w:val="auto"/>
          <w:sz w:val="32"/>
          <w:szCs w:val="32"/>
          <w:highlight w:val="none"/>
          <w:u w:val="single"/>
        </w:rPr>
        <w:t xml:space="preserve">               </w:t>
      </w:r>
      <w:r/>
    </w:p>
    <w:p>
      <w:pPr>
        <w:ind w:firstLine="1285"/>
        <w:jc w:val="left"/>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供应商名称 ：</w:t>
      </w:r>
      <w:r>
        <w:rPr>
          <w:rFonts w:hint="eastAsia" w:ascii="宋体" w:hAnsi="宋体" w:eastAsia="宋体" w:cs="宋体"/>
          <w:b/>
          <w:bCs/>
          <w:color w:val="auto"/>
          <w:sz w:val="32"/>
          <w:szCs w:val="32"/>
          <w:highlight w:val="none"/>
          <w:u w:val="single"/>
        </w:rPr>
        <w:t xml:space="preserve">（加盖CA电子公章）</w:t>
      </w:r>
      <w:r/>
    </w:p>
    <w:p>
      <w:pPr>
        <w:ind w:firstLine="1285"/>
        <w:jc w:val="left"/>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日   期 ：</w:t>
      </w:r>
      <w:r>
        <w:rPr>
          <w:rFonts w:hint="eastAsia" w:ascii="宋体" w:hAnsi="宋体" w:eastAsia="宋体" w:cs="宋体"/>
          <w:b/>
          <w:bCs/>
          <w:color w:val="auto"/>
          <w:sz w:val="32"/>
          <w:szCs w:val="32"/>
          <w:highlight w:val="none"/>
          <w:u w:val="singl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935"/>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5"/>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5"/>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5"/>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 xml:space="preserve">响应文件目录</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left="0" w:firstLine="480"/>
        <w:keepLines w:val="0"/>
        <w:keepNext w:val="0"/>
        <w:pageBreakBefore w:val="0"/>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一、</w:t>
      </w:r>
      <w:r>
        <w:rPr>
          <w:rFonts w:hint="eastAsia" w:ascii="宋体" w:hAnsi="宋体" w:eastAsia="宋体" w:cs="宋体"/>
          <w:b/>
          <w:bCs/>
          <w:color w:val="auto"/>
          <w:sz w:val="24"/>
          <w:szCs w:val="24"/>
          <w:highlight w:val="none"/>
          <w:u w:val="single"/>
        </w:rPr>
        <w:t xml:space="preserve">具有独立承担民事责任的能力</w:t>
      </w:r>
      <w:r>
        <w:rPr>
          <w:rFonts w:hint="eastAsia" w:ascii="宋体" w:hAnsi="宋体" w:eastAsia="宋体" w:cs="宋体"/>
          <w:b/>
          <w:bCs/>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法人或者其他组织的营业执照等证明文件或者自然人的身份证明</w:t>
      </w:r>
      <w:r/>
    </w:p>
    <w:p>
      <w:pPr>
        <w:ind w:left="0" w:firstLine="480"/>
        <w:keepLines w:val="0"/>
        <w:keepNext w:val="0"/>
        <w:pageBreakBefore w:val="0"/>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二、</w:t>
      </w:r>
      <w:r>
        <w:rPr>
          <w:rFonts w:hint="eastAsia" w:ascii="宋体" w:hAnsi="宋体" w:eastAsia="宋体" w:cs="宋体"/>
          <w:b/>
          <w:bCs/>
          <w:color w:val="auto"/>
          <w:sz w:val="24"/>
          <w:szCs w:val="24"/>
          <w:highlight w:val="none"/>
          <w:u w:val="single"/>
        </w:rPr>
        <w:t xml:space="preserve">具有良好的商业信誉和健全的财务会计制度</w:t>
      </w:r>
      <w:r>
        <w:rPr>
          <w:rFonts w:hint="eastAsia" w:ascii="宋体" w:hAnsi="宋体" w:eastAsia="宋体" w:cs="宋体"/>
          <w:b/>
          <w:bCs/>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供应商近六个月中任意一个月份（不含磋商响应文件递交当月）的财务状况报告（资产负债表和利润表）或由会计师事务所出具的近两年中任意一个年度的审计报告复印件；其他组织、自然人及成立未满一年的法人应提供银行出具的资信证明</w:t>
      </w:r>
      <w:r/>
    </w:p>
    <w:p>
      <w:pPr>
        <w:ind w:left="0" w:firstLine="480"/>
        <w:keepLines w:val="0"/>
        <w:keepNext w:val="0"/>
        <w:pageBreakBefore w:val="0"/>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三、</w:t>
      </w:r>
      <w:r>
        <w:rPr>
          <w:rFonts w:hint="eastAsia" w:ascii="宋体" w:hAnsi="宋体" w:eastAsia="宋体" w:cs="宋体"/>
          <w:b/>
          <w:bCs/>
          <w:color w:val="auto"/>
          <w:sz w:val="24"/>
          <w:szCs w:val="24"/>
          <w:highlight w:val="none"/>
          <w:u w:val="single"/>
        </w:rPr>
        <w:t xml:space="preserve">有依法缴纳税收和社会保障资金的良好记录：</w:t>
      </w:r>
      <w:r>
        <w:rPr>
          <w:rFonts w:hint="eastAsia" w:ascii="宋体" w:hAnsi="宋体" w:eastAsia="宋体" w:cs="宋体"/>
          <w:color w:val="auto"/>
          <w:sz w:val="24"/>
          <w:szCs w:val="24"/>
          <w:highlight w:val="none"/>
          <w:u w:val="single"/>
        </w:rPr>
        <w:t xml:space="preserve">提供供应商近六个月中任意一个月份（不含磋商响应文件递交当月）依法缴纳税收及缴纳社会保障资金的证明材料。磋商供应商依法享受缓缴、免缴税收、社会保障资金的提供证明材料</w:t>
      </w:r>
      <w:r/>
    </w:p>
    <w:p>
      <w:pPr>
        <w:ind w:left="0" w:firstLine="480"/>
        <w:keepLines w:val="0"/>
        <w:keepNext w:val="0"/>
        <w:pageBreakBefore w:val="0"/>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四、具备履行合同所必需的设备和专业技术能力的书面声明</w:t>
      </w:r>
      <w:r/>
    </w:p>
    <w:p>
      <w:pPr>
        <w:ind w:left="0" w:firstLine="480"/>
        <w:keepLines w:val="0"/>
        <w:keepNext w:val="0"/>
        <w:pageBreakBefore w:val="0"/>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五、参加政府采购活动前</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rPr>
        <w:t xml:space="preserve">年内在经营活动中没有重大违法记录的书面声明</w:t>
      </w:r>
      <w:r/>
    </w:p>
    <w:p>
      <w:pPr>
        <w:ind w:left="0" w:firstLine="480"/>
        <w:keepLines w:val="0"/>
        <w:keepNext w:val="0"/>
        <w:pageBreakBefore w:val="0"/>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六、特定资格要求的证明文件（如果本项目设置特定资格要求，则需要提供）</w:t>
      </w:r>
      <w:r/>
    </w:p>
    <w:p>
      <w:pPr>
        <w:ind w:left="0" w:firstLine="480"/>
        <w:keepLines w:val="0"/>
        <w:keepNext w:val="0"/>
        <w:pageBreakBefore w:val="0"/>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七、法人授权书</w:t>
      </w:r>
      <w:r/>
    </w:p>
    <w:p>
      <w:pPr>
        <w:ind w:left="0" w:firstLine="480"/>
        <w:keepLines w:val="0"/>
        <w:keepNext w:val="0"/>
        <w:pageBreakBefore w:val="0"/>
        <w:widowControl w:val="off"/>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rPr>
        <w:t xml:space="preserve">八、磋商响应函、磋商报价表</w:t>
      </w:r>
      <w:r>
        <w:rPr>
          <w:rFonts w:hint="eastAsia" w:ascii="宋体" w:hAnsi="宋体" w:eastAsia="宋体" w:cs="宋体"/>
          <w:strike w:val="0"/>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报价明细表</w:t>
      </w:r>
      <w:r/>
    </w:p>
    <w:p>
      <w:pPr>
        <w:ind w:left="0" w:firstLine="480"/>
        <w:keepLines w:val="0"/>
        <w:keepNext w:val="0"/>
        <w:pageBreakBefore w:val="0"/>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九、中小企业声明函或监狱企业、残疾人福利性单位的证明资料（如有）</w:t>
      </w:r>
      <w:r/>
    </w:p>
    <w:p>
      <w:pPr>
        <w:ind w:left="0" w:firstLine="480"/>
        <w:keepLines w:val="0"/>
        <w:keepNext w:val="0"/>
        <w:pageBreakBefore w:val="0"/>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十、商务及技术要求响应及偏离表；</w:t>
      </w:r>
      <w:r/>
    </w:p>
    <w:p>
      <w:pPr>
        <w:ind w:left="0" w:firstLine="480"/>
        <w:keepLines w:val="0"/>
        <w:keepNext w:val="0"/>
        <w:pageBreakBefore w:val="0"/>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十</w:t>
      </w:r>
      <w:r>
        <w:rPr>
          <w:rFonts w:hint="eastAsia" w:ascii="宋体" w:hAnsi="宋体" w:cs="宋体"/>
          <w:color w:val="auto"/>
          <w:sz w:val="24"/>
          <w:szCs w:val="24"/>
          <w:highlight w:val="none"/>
          <w:u w:val="single"/>
          <w:lang w:val="en-US" w:eastAsia="zh-CN"/>
        </w:rPr>
        <w:t xml:space="preserve">一</w:t>
      </w:r>
      <w:r>
        <w:rPr>
          <w:rFonts w:hint="eastAsia"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响应</w:t>
      </w:r>
      <w:r>
        <w:rPr>
          <w:rFonts w:hint="eastAsia" w:ascii="宋体" w:hAnsi="宋体" w:eastAsia="宋体" w:cs="宋体"/>
          <w:color w:val="auto"/>
          <w:sz w:val="24"/>
          <w:szCs w:val="24"/>
          <w:highlight w:val="none"/>
          <w:u w:val="single"/>
        </w:rPr>
        <w:t xml:space="preserve">承诺书</w:t>
      </w:r>
      <w:r/>
    </w:p>
    <w:p>
      <w:pPr>
        <w:ind w:left="0" w:firstLine="480"/>
        <w:keepLines w:val="0"/>
        <w:keepNext w:val="0"/>
        <w:pageBreakBefore w:val="0"/>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十</w:t>
      </w:r>
      <w:r>
        <w:rPr>
          <w:rFonts w:hint="eastAsia" w:ascii="宋体" w:hAnsi="宋体" w:cs="宋体"/>
          <w:color w:val="auto"/>
          <w:sz w:val="24"/>
          <w:szCs w:val="24"/>
          <w:highlight w:val="none"/>
          <w:u w:val="single"/>
          <w:lang w:val="en-US" w:eastAsia="zh-CN"/>
        </w:rPr>
        <w:t xml:space="preserve">二</w:t>
      </w:r>
      <w:r>
        <w:rPr>
          <w:rFonts w:hint="eastAsia" w:ascii="宋体" w:hAnsi="宋体" w:eastAsia="宋体" w:cs="宋体"/>
          <w:color w:val="auto"/>
          <w:sz w:val="24"/>
          <w:szCs w:val="24"/>
          <w:highlight w:val="none"/>
          <w:u w:val="single"/>
        </w:rPr>
        <w:t xml:space="preserve">、按照评分办法应当递交的其他资料</w:t>
      </w:r>
      <w:r/>
    </w:p>
    <w:p>
      <w:pPr>
        <w:ind w:left="0" w:firstLine="480"/>
        <w:keepLines w:val="0"/>
        <w:keepNext w:val="0"/>
        <w:pageBreakBefore w:val="0"/>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十</w:t>
      </w:r>
      <w:r>
        <w:rPr>
          <w:rFonts w:hint="eastAsia" w:ascii="宋体" w:hAnsi="宋体" w:cs="宋体"/>
          <w:color w:val="auto"/>
          <w:sz w:val="24"/>
          <w:szCs w:val="24"/>
          <w:highlight w:val="none"/>
          <w:u w:val="single"/>
          <w:lang w:val="en-US" w:eastAsia="zh-CN"/>
        </w:rPr>
        <w:t xml:space="preserve">三</w:t>
      </w:r>
      <w:r>
        <w:rPr>
          <w:rFonts w:hint="eastAsia" w:ascii="宋体" w:hAnsi="宋体" w:eastAsia="宋体" w:cs="宋体"/>
          <w:color w:val="auto"/>
          <w:sz w:val="24"/>
          <w:szCs w:val="24"/>
          <w:highlight w:val="none"/>
          <w:u w:val="single"/>
        </w:rPr>
        <w:t xml:space="preserve">、质疑函范本</w:t>
      </w:r>
      <w:r/>
    </w:p>
    <w:p>
      <w:pPr>
        <w:pStyle w:val="938"/>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935"/>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5"/>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5"/>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5"/>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5"/>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935"/>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32"/>
          <w:szCs w:val="32"/>
          <w:highlight w:val="none"/>
          <w:u w:val="single"/>
        </w:rPr>
        <w:t xml:space="preserve">一、法人或者其他组织的营业执照等证明文件或者自然人的身份证明</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32"/>
          <w:szCs w:val="32"/>
          <w:highlight w:val="none"/>
          <w:u w:val="single"/>
        </w:rPr>
        <w:t xml:space="preserve">二、供应商</w:t>
      </w:r>
      <w:r>
        <w:rPr>
          <w:rFonts w:hint="eastAsia" w:ascii="宋体" w:hAnsi="宋体" w:eastAsia="宋体" w:cs="宋体"/>
          <w:color w:val="auto"/>
          <w:sz w:val="32"/>
          <w:szCs w:val="32"/>
          <w:highlight w:val="none"/>
          <w:u w:val="single"/>
          <w:lang w:val="en-US" w:eastAsia="zh-CN"/>
        </w:rPr>
        <w:t xml:space="preserve">近六个月中</w:t>
      </w:r>
      <w:r>
        <w:rPr>
          <w:rFonts w:hint="eastAsia" w:ascii="宋体" w:hAnsi="宋体" w:eastAsia="宋体" w:cs="宋体"/>
          <w:color w:val="auto"/>
          <w:sz w:val="32"/>
          <w:szCs w:val="32"/>
          <w:highlight w:val="none"/>
          <w:u w:val="single"/>
        </w:rPr>
        <w:t xml:space="preserve">任意一个月份（不含磋商响应文件递交当月）的财务状况报告（资产负债表和利润表）或由会计师事务所出具的近两年中任意一个年度的审计报告复印件；</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其他组织、自然人及成立未满一年的法人应提供银行出具的资信证明</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32"/>
          <w:szCs w:val="32"/>
          <w:highlight w:val="none"/>
          <w:u w:val="single"/>
        </w:rPr>
        <w:t xml:space="preserve">三、依法缴纳税收和社会保障资金的相关材料</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提供近六个月中任意一个月份（不含磋商响应文件递交当月）依法缴纳税收及缴纳社会保障资金的证明材料。供应商依法享受缓缴、免缴税收、社会保障资金的提供证明材料。</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32"/>
          <w:szCs w:val="32"/>
          <w:highlight w:val="none"/>
          <w:u w:val="single"/>
        </w:rPr>
        <w:t xml:space="preserve">四、具备履行合同所必需的设备和专业技术能力的书面声明</w:t>
      </w:r>
      <w:r/>
    </w:p>
    <w:p>
      <w:pPr>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主要设备有：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主要专业技术能力有：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right="180" w:firstLine="36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企业名称（加盖CA电子公章）：</w:t>
      </w:r>
      <w:r/>
    </w:p>
    <w:p>
      <w:pPr>
        <w:ind w:right="480" w:firstLine="5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i/>
          <w:iCs/>
          <w:color w:val="auto"/>
          <w:sz w:val="24"/>
          <w:szCs w:val="24"/>
          <w:highlight w:val="none"/>
        </w:rPr>
      </w:pPr>
      <w:r>
        <w:rPr>
          <w:rFonts w:hint="eastAsia" w:ascii="宋体" w:hAnsi="宋体" w:eastAsia="宋体" w:cs="宋体"/>
          <w:i/>
          <w:iCs/>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32"/>
          <w:szCs w:val="32"/>
          <w:highlight w:val="none"/>
          <w:u w:val="single"/>
        </w:rPr>
        <w:t xml:space="preserve">五、参加政府采购活动前 3 年内在经营活动中没有重大违法记录的书面声明</w:t>
      </w:r>
      <w:r/>
    </w:p>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44"/>
          <w:szCs w:val="44"/>
          <w:highlight w:val="none"/>
        </w:rPr>
        <w:t xml:space="preserve">声  明</w:t>
      </w:r>
      <w:r/>
    </w:p>
    <w:p>
      <w:pP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right="180" w:firstLine="36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企业名称（加盖CA电子公章）：</w:t>
      </w:r>
      <w:r/>
    </w:p>
    <w:p>
      <w:pPr>
        <w:ind w:right="480" w:firstLine="5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3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3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4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3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39"/>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32"/>
          <w:szCs w:val="32"/>
          <w:highlight w:val="none"/>
          <w:u w:val="single"/>
        </w:rPr>
        <w:t xml:space="preserve">六、特定资格要求的证明文件</w:t>
      </w:r>
      <w:r/>
    </w:p>
    <w:p>
      <w:pPr>
        <w:ind w:firstLine="480"/>
        <w:pageBreakBefore w:val="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供应商须具有国家文物局颁发的考古发掘资质；</w:t>
      </w:r>
      <w:r/>
    </w:p>
    <w:p>
      <w:pPr>
        <w:pStyle w:val="934"/>
        <w:rPr>
          <w:rFonts w:hint="eastAsia"/>
          <w:color w:val="auto"/>
          <w:highlight w:val="none"/>
          <w:lang w:val="en-US" w:eastAsia="zh-CN"/>
        </w:rPr>
      </w:pPr>
      <w:r>
        <w:rPr>
          <w:rFonts w:hint="eastAsia"/>
          <w:color w:val="auto"/>
          <w:highlight w:val="none"/>
          <w:lang w:val="en-US" w:eastAsia="zh-CN"/>
        </w:rPr>
      </w:r>
      <w:r/>
    </w:p>
    <w:p>
      <w:pPr>
        <w:pStyle w:val="934"/>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i/>
          <w:iCs/>
          <w:color w:val="auto"/>
          <w:sz w:val="32"/>
          <w:szCs w:val="32"/>
          <w:highlight w:val="none"/>
          <w:u w:val="single"/>
        </w:rPr>
      </w:pPr>
      <w:r/>
      <w:bookmarkStart w:id="195" w:name="_Toc120614284"/>
      <w:r/>
      <w:r/>
    </w:p>
    <w:p>
      <w:pPr>
        <w:jc w:val="center"/>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jc w:val="center"/>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pStyle w:val="926"/>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pStyle w:val="921"/>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pStyle w:val="925"/>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pStyle w:val="925"/>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pStyle w:val="925"/>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pStyle w:val="925"/>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pStyle w:val="925"/>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pStyle w:val="925"/>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pStyle w:val="925"/>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pStyle w:val="925"/>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pStyle w:val="925"/>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pStyle w:val="925"/>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pStyle w:val="925"/>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pStyle w:val="925"/>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pStyle w:val="925"/>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pStyle w:val="925"/>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pStyle w:val="925"/>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pStyle w:val="925"/>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pStyle w:val="925"/>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pStyle w:val="925"/>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pStyle w:val="925"/>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pStyle w:val="925"/>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pStyle w:val="925"/>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32"/>
          <w:szCs w:val="32"/>
          <w:highlight w:val="none"/>
          <w:u w:val="single"/>
        </w:rPr>
        <w:t xml:space="preserve">七、法人授权书</w:t>
      </w:r>
      <w:bookmarkEnd w:id="195"/>
      <w:r/>
      <w:r/>
    </w:p>
    <w:p>
      <w:pPr>
        <w:jc w:val="center"/>
        <w:spacing w:line="400" w:lineRule="exact"/>
        <w:rPr>
          <w:rFonts w:hint="eastAsia" w:ascii="宋体" w:hAnsi="宋体" w:eastAsia="宋体" w:cs="宋体"/>
          <w:b/>
          <w:color w:val="auto"/>
          <w:sz w:val="44"/>
          <w:highlight w:val="none"/>
        </w:rPr>
      </w:pPr>
      <w:r/>
      <w:bookmarkStart w:id="196" w:name="_Hlt26955070"/>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__________________（</w:t>
      </w:r>
      <w:r>
        <w:rPr>
          <w:rFonts w:hint="eastAsia" w:ascii="宋体" w:hAnsi="宋体" w:eastAsia="宋体" w:cs="宋体"/>
          <w:color w:val="auto"/>
          <w:sz w:val="24"/>
          <w:highlight w:val="none"/>
          <w:lang w:val="en-US" w:eastAsia="zh-CN"/>
        </w:rPr>
        <w:t xml:space="preserve">采购人</w:t>
      </w:r>
      <w:r>
        <w:rPr>
          <w:rFonts w:hint="eastAsia" w:ascii="宋体" w:hAnsi="宋体" w:eastAsia="宋体" w:cs="宋体"/>
          <w:color w:val="auto"/>
          <w:sz w:val="24"/>
          <w:highlight w:val="none"/>
        </w:rPr>
        <w:t xml:space="preserve">名称）：</w:t>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本授权声明：（</w:t>
      </w:r>
      <w:r>
        <w:rPr>
          <w:rFonts w:hint="eastAsia" w:ascii="宋体" w:hAnsi="宋体" w:cs="宋体"/>
          <w:color w:val="auto"/>
          <w:sz w:val="24"/>
          <w:highlight w:val="none"/>
          <w:lang w:val="en-US" w:eastAsia="zh-CN"/>
        </w:rPr>
        <w:t xml:space="preserve">响应供应商</w:t>
      </w:r>
      <w:r>
        <w:rPr>
          <w:rFonts w:hint="eastAsia" w:ascii="宋体" w:hAnsi="宋体" w:eastAsia="宋体" w:cs="宋体"/>
          <w:color w:val="auto"/>
          <w:sz w:val="24"/>
          <w:highlight w:val="none"/>
        </w:rPr>
        <w:t xml:space="preserve">名称）（法定代表人姓名、职务）授权（被委托代理人姓名、职务）为我方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w:t>
      </w:r>
      <w:r>
        <w:rPr>
          <w:rFonts w:hint="eastAsia" w:ascii="宋体" w:hAnsi="宋体" w:cs="宋体"/>
          <w:color w:val="auto"/>
          <w:sz w:val="24"/>
          <w:highlight w:val="none"/>
          <w:lang w:val="en-US" w:eastAsia="zh-CN"/>
        </w:rPr>
        <w:t xml:space="preserve">响应</w:t>
      </w:r>
      <w:r>
        <w:rPr>
          <w:rFonts w:hint="eastAsia" w:ascii="宋体" w:hAnsi="宋体" w:eastAsia="宋体" w:cs="宋体"/>
          <w:color w:val="auto"/>
          <w:sz w:val="24"/>
          <w:highlight w:val="none"/>
        </w:rPr>
        <w:t xml:space="preserve">活动的合法代表，以我方名义全权处理该项目有关</w:t>
      </w:r>
      <w:r>
        <w:rPr>
          <w:rFonts w:hint="eastAsia" w:ascii="宋体" w:hAnsi="宋体" w:cs="宋体"/>
          <w:color w:val="auto"/>
          <w:sz w:val="24"/>
          <w:highlight w:val="none"/>
          <w:lang w:val="en-US" w:eastAsia="zh-CN"/>
        </w:rPr>
        <w:t xml:space="preserve">响应</w:t>
      </w:r>
      <w:r>
        <w:rPr>
          <w:rFonts w:hint="eastAsia" w:ascii="宋体" w:hAnsi="宋体" w:eastAsia="宋体" w:cs="宋体"/>
          <w:color w:val="auto"/>
          <w:sz w:val="24"/>
          <w:highlight w:val="none"/>
        </w:rPr>
        <w:t xml:space="preserve">、签订合同以及执行合同等一切事宜。</w:t>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特此声明。</w:t>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法定代表人签字：</w:t>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委托代理人</w:t>
      </w:r>
      <w:r>
        <w:rPr>
          <w:rFonts w:hint="eastAsia" w:ascii="宋体" w:hAnsi="宋体" w:eastAsia="宋体" w:cs="宋体"/>
          <w:color w:val="auto"/>
          <w:sz w:val="24"/>
          <w:highlight w:val="none"/>
        </w:rPr>
        <w:t xml:space="preserve">签字：</w:t>
      </w:r>
      <w:r/>
    </w:p>
    <w:p>
      <w:pPr>
        <w:ind w:firstLine="480"/>
        <w:spacing w:line="400" w:lineRule="exact"/>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响应供应商</w:t>
      </w:r>
      <w:r>
        <w:rPr>
          <w:rFonts w:hint="eastAsia" w:ascii="宋体" w:hAnsi="宋体" w:eastAsia="宋体" w:cs="宋体"/>
          <w:color w:val="auto"/>
          <w:sz w:val="24"/>
          <w:highlight w:val="none"/>
        </w:rPr>
        <w:t xml:space="preserve">名称：（盖章）</w:t>
      </w:r>
      <w:r/>
    </w:p>
    <w:p>
      <w:pPr>
        <w:ind w:firstLine="480"/>
        <w:spacing w:line="400" w:lineRule="exact"/>
        <w:rPr>
          <w:rFonts w:hint="eastAsia" w:ascii="宋体" w:hAnsi="宋体" w:eastAsia="宋体" w:cs="宋体"/>
          <w:color w:val="auto"/>
          <w:sz w:val="32"/>
          <w:highlight w:val="none"/>
        </w:rPr>
      </w:pPr>
      <w:r>
        <w:rPr>
          <w:rFonts w:hint="eastAsia" w:ascii="宋体" w:hAnsi="宋体" w:eastAsia="宋体" w:cs="宋体"/>
          <w:color w:val="auto"/>
          <w:sz w:val="24"/>
          <w:highlight w:val="none"/>
        </w:rPr>
        <w:t xml:space="preserve">日    期：</w:t>
      </w:r>
      <w:r/>
    </w:p>
    <w:p>
      <w:pPr>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w:t>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一、上述证明文件在</w:t>
      </w:r>
      <w:r>
        <w:rPr>
          <w:rFonts w:hint="eastAsia" w:ascii="宋体" w:hAnsi="宋体" w:cs="宋体"/>
          <w:color w:val="auto"/>
          <w:sz w:val="24"/>
          <w:highlight w:val="none"/>
          <w:lang w:val="en-US" w:eastAsia="zh-CN"/>
        </w:rPr>
        <w:t xml:space="preserve">响应</w:t>
      </w:r>
      <w:r>
        <w:rPr>
          <w:rFonts w:hint="eastAsia" w:ascii="宋体" w:hAnsi="宋体" w:eastAsia="宋体" w:cs="宋体"/>
          <w:color w:val="auto"/>
          <w:sz w:val="24"/>
          <w:highlight w:val="none"/>
        </w:rPr>
        <w:t xml:space="preserve">文件中附有代理人身份证复印件（身份证两面均应复印）时才能生效；</w:t>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w:t>
      </w:r>
      <w:r>
        <w:rPr>
          <w:rFonts w:hint="eastAsia" w:ascii="宋体" w:hAnsi="宋体" w:cs="宋体"/>
          <w:color w:val="auto"/>
          <w:sz w:val="24"/>
          <w:highlight w:val="none"/>
          <w:lang w:val="en-US" w:eastAsia="zh-CN"/>
        </w:rPr>
        <w:t xml:space="preserve">响应</w:t>
      </w:r>
      <w:r>
        <w:rPr>
          <w:rFonts w:hint="eastAsia" w:ascii="宋体" w:hAnsi="宋体" w:eastAsia="宋体" w:cs="宋体"/>
          <w:color w:val="auto"/>
          <w:sz w:val="24"/>
          <w:highlight w:val="none"/>
        </w:rPr>
        <w:t xml:space="preserve">文件均由</w:t>
      </w:r>
      <w:r>
        <w:rPr>
          <w:rFonts w:hint="eastAsia" w:ascii="宋体" w:hAnsi="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法定代表人签字的,</w:t>
      </w:r>
      <w:r>
        <w:rPr>
          <w:rFonts w:hint="eastAsia" w:ascii="宋体" w:hAnsi="宋体" w:cs="宋体"/>
          <w:color w:val="auto"/>
          <w:sz w:val="24"/>
          <w:highlight w:val="none"/>
          <w:lang w:val="en-US" w:eastAsia="zh-CN"/>
        </w:rPr>
        <w:t xml:space="preserve">响应</w:t>
      </w:r>
      <w:r>
        <w:rPr>
          <w:rFonts w:hint="eastAsia" w:ascii="宋体" w:hAnsi="宋体" w:eastAsia="宋体" w:cs="宋体"/>
          <w:color w:val="auto"/>
          <w:sz w:val="24"/>
          <w:highlight w:val="none"/>
        </w:rPr>
        <w:t xml:space="preserve">文件中可不提供该附件的内容。</w:t>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三、扫描件与复印件具有同等效力。</w:t>
      </w:r>
      <w:r/>
    </w:p>
    <w:p>
      <w:pPr>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925"/>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授权代表身份证复印件（正反两面均需复印） ：</w:t>
      </w:r>
      <w:r/>
    </w:p>
    <w:p>
      <w:pPr>
        <w:pStyle w:val="925"/>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923"/>
        <w:tblW w:w="0" w:type="auto"/>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31"/>
        <w:gridCol w:w="469"/>
        <w:gridCol w:w="4207"/>
      </w:tblGrid>
      <w:tr>
        <w:trPr>
          <w:trHeight w:val="2673"/>
        </w:trPr>
        <w:tc>
          <w:tcPr>
            <w:tcW w:w="4031" w:type="dxa"/>
            <w:vAlign w:val="top"/>
            <w:textDirection w:val="lrTb"/>
            <w:noWrap w:val="false"/>
          </w:tcPr>
          <w:p>
            <w:pPr>
              <w:pStyle w:val="925"/>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5"/>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5"/>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5"/>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被委托</w:t>
            </w:r>
            <w:r>
              <w:rPr>
                <w:rFonts w:hint="eastAsia" w:ascii="宋体" w:hAnsi="宋体" w:eastAsia="宋体" w:cs="宋体"/>
                <w:color w:val="auto"/>
                <w:sz w:val="24"/>
                <w:szCs w:val="22"/>
                <w:highlight w:val="none"/>
              </w:rPr>
              <w:t xml:space="preserve">代理人</w:t>
            </w:r>
            <w:r>
              <w:rPr>
                <w:rFonts w:hint="eastAsia" w:ascii="宋体" w:hAnsi="宋体" w:eastAsia="宋体" w:cs="宋体"/>
                <w:color w:val="auto"/>
                <w:sz w:val="24"/>
                <w:szCs w:val="24"/>
                <w:highlight w:val="none"/>
              </w:rPr>
              <w:t xml:space="preserve">身份证正面复印件</w:t>
            </w:r>
            <w:r/>
          </w:p>
          <w:p>
            <w:pPr>
              <w:pStyle w:val="925"/>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bottom w:val="none" w:color="000000" w:sz="4" w:space="0"/>
            </w:tcBorders>
            <w:tcW w:w="469" w:type="dxa"/>
            <w:vAlign w:val="top"/>
            <w:textDirection w:val="lrTb"/>
            <w:noWrap w:val="false"/>
          </w:tcPr>
          <w:p>
            <w:pPr>
              <w:pStyle w:val="925"/>
              <w:ind w:left="621"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p>
            <w:pPr>
              <w:jc w:val="left"/>
              <w:widowControl/>
              <w:rPr>
                <w:rFonts w:hint="eastAsia" w:ascii="宋体" w:hAnsi="宋体" w:eastAsia="宋体" w:cs="宋体"/>
                <w:color w:val="auto"/>
                <w:sz w:val="24"/>
                <w:szCs w:val="22"/>
                <w:highlight w:val="none"/>
              </w:rPr>
            </w:pPr>
            <w:r>
              <w:rPr>
                <w:rFonts w:hint="eastAsia" w:ascii="宋体" w:hAnsi="宋体" w:eastAsia="宋体" w:cs="宋体"/>
                <w:color w:val="auto"/>
                <w:szCs w:val="22"/>
                <w:highlight w:val="none"/>
              </w:rPr>
              <w:t xml:space="preserve"> </w:t>
            </w:r>
            <w:r/>
          </w:p>
          <w:p>
            <w:pPr>
              <w:jc w:val="left"/>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p>
            <w:pPr>
              <w:pStyle w:val="925"/>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207" w:type="dxa"/>
            <w:vAlign w:val="top"/>
            <w:textDirection w:val="lrTb"/>
            <w:noWrap w:val="false"/>
          </w:tcPr>
          <w:p>
            <w:pPr>
              <w:pStyle w:val="925"/>
              <w:ind w:firstLine="48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p>
            <w:pPr>
              <w:pStyle w:val="925"/>
              <w:ind w:firstLine="48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p>
            <w:pPr>
              <w:pStyle w:val="925"/>
              <w:ind w:firstLine="48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p>
            <w:pPr>
              <w:pStyle w:val="925"/>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被委托</w:t>
            </w:r>
            <w:r>
              <w:rPr>
                <w:rFonts w:hint="eastAsia" w:ascii="宋体" w:hAnsi="宋体" w:eastAsia="宋体" w:cs="宋体"/>
                <w:color w:val="auto"/>
                <w:sz w:val="24"/>
                <w:szCs w:val="22"/>
                <w:highlight w:val="none"/>
              </w:rPr>
              <w:t xml:space="preserve">代理人</w:t>
            </w:r>
            <w:r>
              <w:rPr>
                <w:rFonts w:hint="eastAsia" w:ascii="宋体" w:hAnsi="宋体" w:eastAsia="宋体" w:cs="宋体"/>
                <w:color w:val="auto"/>
                <w:sz w:val="24"/>
                <w:szCs w:val="24"/>
                <w:highlight w:val="none"/>
              </w:rPr>
              <w:t xml:space="preserve">身份证反面复印件</w:t>
            </w:r>
            <w:r/>
          </w:p>
          <w:p>
            <w:pPr>
              <w:pStyle w:val="925"/>
              <w:ind w:firstLine="162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r>
    </w:tbl>
    <w:p>
      <w:pPr>
        <w:ind w:firstLine="480"/>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right="480" w:firstLine="5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keepLines/>
        <w:keepNext/>
        <w:spacing w:before="260" w:after="260" w:line="415" w:lineRule="auto"/>
        <w:rPr>
          <w:rFonts w:hint="eastAsia" w:ascii="宋体" w:hAnsi="宋体" w:eastAsia="宋体" w:cs="宋体"/>
          <w:color w:val="auto"/>
          <w:sz w:val="24"/>
          <w:szCs w:val="24"/>
          <w:highlight w:val="none"/>
        </w:rPr>
      </w:pPr>
      <w:r>
        <w:rPr>
          <w:color w:val="auto"/>
          <w:highlight w:val="none"/>
        </w:rPr>
        <w:br w:type="page" w:clear="all"/>
      </w:r>
      <w:r>
        <w:rPr>
          <w:rFonts w:hint="eastAsia" w:ascii="宋体" w:hAnsi="宋体" w:eastAsia="宋体" w:cs="宋体"/>
          <w:b/>
          <w:bCs/>
          <w:color w:val="auto"/>
          <w:sz w:val="32"/>
          <w:szCs w:val="32"/>
          <w:highlight w:val="none"/>
          <w:u w:val="single"/>
        </w:rPr>
        <w:t xml:space="preserve">八、磋商响应函</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致：江苏建泰工程项目管理有限公司</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根据贵方的</w:t>
      </w:r>
      <w:r>
        <w:rPr>
          <w:rFonts w:hint="eastAsia" w:ascii="宋体" w:hAnsi="宋体" w:eastAsia="宋体" w:cs="宋体"/>
          <w:b/>
          <w:bCs/>
          <w:color w:val="auto"/>
          <w:sz w:val="36"/>
          <w:szCs w:val="36"/>
          <w:highlight w:val="none"/>
          <w:u w:val="single"/>
        </w:rPr>
        <w:t xml:space="preserve"> </w:t>
      </w:r>
      <w:r>
        <w:rPr>
          <w:rFonts w:hint="eastAsia" w:ascii="宋体" w:hAnsi="宋体" w:eastAsia="宋体" w:cs="宋体"/>
          <w:color w:val="auto"/>
          <w:sz w:val="24"/>
          <w:szCs w:val="24"/>
          <w:highlight w:val="none"/>
          <w:u w:val="single"/>
        </w:rPr>
        <w:t xml:space="preserve">（项目编号）</w:t>
      </w:r>
      <w:r>
        <w:rPr>
          <w:rFonts w:hint="eastAsia" w:ascii="宋体" w:hAnsi="宋体" w:eastAsia="宋体" w:cs="宋体"/>
          <w:b/>
          <w:bCs/>
          <w:color w:val="auto"/>
          <w:sz w:val="36"/>
          <w:szCs w:val="36"/>
          <w:highlight w:val="none"/>
          <w:u w:val="single"/>
        </w:rPr>
        <w:t xml:space="preserve">  </w:t>
      </w:r>
      <w:r>
        <w:rPr>
          <w:rFonts w:hint="eastAsia" w:ascii="宋体" w:hAnsi="宋体" w:eastAsia="宋体" w:cs="宋体"/>
          <w:color w:val="auto"/>
          <w:sz w:val="24"/>
          <w:szCs w:val="24"/>
          <w:highlight w:val="none"/>
        </w:rPr>
        <w:t xml:space="preserve">号磋商文件，正式授权下述签字人______(姓名)代表我方______________（供应商的名称），全权处理本次项目磋商的有关事宜。</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据此函，__________签字人兹宣布同意如下：</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1.按磋商文件规定的各项要求，向买方提供所需</w:t>
      </w:r>
      <w:r>
        <w:rPr>
          <w:rFonts w:hint="eastAsia" w:ascii="宋体" w:hAnsi="宋体" w:eastAsia="宋体" w:cs="宋体"/>
          <w:color w:val="auto"/>
          <w:sz w:val="24"/>
          <w:szCs w:val="24"/>
          <w:highlight w:val="none"/>
          <w:lang w:val="en-US" w:eastAsia="zh-CN"/>
        </w:rPr>
        <w:t xml:space="preserve">工程、</w:t>
      </w:r>
      <w:r>
        <w:rPr>
          <w:rFonts w:hint="eastAsia" w:ascii="宋体" w:hAnsi="宋体" w:eastAsia="宋体" w:cs="宋体"/>
          <w:color w:val="auto"/>
          <w:sz w:val="24"/>
          <w:szCs w:val="24"/>
          <w:highlight w:val="none"/>
        </w:rPr>
        <w:t xml:space="preserve">货物、服务（包含与货物相关的服务及与服务相关的货物）。</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2.我们完全理解贵方不一定将合同授予最低报价的供应商。</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3.我们已详细审核全部磋商文件及其有效补充文件，我们知道必须放弃提出含糊不清或误解问题的权利。</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4.我们同意从规定的开标日期起遵循本响应文件，并在规定的磋商有效期期满之前均具有约束力。</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5.同意向贵方提供贵方可能另外要求的与磋商有关的任何证据或资料，并保证我方已提供和将要提供的文件是真实的、准确的。</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6.一旦我方成交,我方将根据磋商文件的规定，严格履行合同的责任和义务,并保证在磋商文件规定的时间完成项目，交付买方验收、使用。</w:t>
      </w:r>
      <w:r/>
    </w:p>
    <w:p>
      <w:pPr>
        <w:ind w:left="425"/>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7.我方与本磋商有关的正式通讯地址为：</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          编：</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          真：</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供应商开户行：</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          号： </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期：________年____月____日</w:t>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right="180" w:firstLine="36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企业名称（加盖CA电子公章）：</w:t>
      </w:r>
      <w:r/>
    </w:p>
    <w:p>
      <w:pPr>
        <w:ind w:right="480" w:firstLine="5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37"/>
        <w:rPr>
          <w:rFonts w:hint="eastAsia"/>
          <w:color w:val="auto"/>
          <w:highlight w:val="none"/>
        </w:rPr>
      </w:pPr>
      <w:r>
        <w:rPr>
          <w:rFonts w:hint="eastAsia"/>
          <w:color w:val="auto"/>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en-US" w:eastAsia="zh-CN"/>
        </w:rPr>
        <w:t xml:space="preserve">磋商报价</w:t>
      </w:r>
      <w:r>
        <w:rPr>
          <w:rFonts w:hint="eastAsia" w:ascii="宋体" w:hAnsi="宋体" w:eastAsia="宋体" w:cs="宋体"/>
          <w:b/>
          <w:bCs/>
          <w:color w:val="auto"/>
          <w:sz w:val="32"/>
          <w:szCs w:val="32"/>
          <w:highlight w:val="none"/>
        </w:rPr>
        <w:t xml:space="preserve">表</w:t>
      </w:r>
      <w:r/>
    </w:p>
    <w:p>
      <w:pPr>
        <w:pStyle w:val="933"/>
        <w:keepLines w:val="0"/>
        <w:keepNext w:val="0"/>
        <w:pageBreakBefore w:val="0"/>
        <w:spacing w:before="0" w:beforeAutospacing="0" w:after="0" w:afterAutospacing="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p>
      <w:pPr>
        <w:pStyle w:val="933"/>
        <w:keepLines w:val="0"/>
        <w:keepNext w:val="0"/>
        <w:pageBreakBefore w:val="0"/>
        <w:spacing w:before="0" w:beforeAutospacing="0" w:after="0" w:afterAutospacing="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本次为首次报价                              货币单位：人民币元</w:t>
      </w:r>
      <w:r/>
    </w:p>
    <w:p>
      <w:pPr>
        <w:pStyle w:val="933"/>
        <w:keepLines w:val="0"/>
        <w:keepNext w:val="0"/>
        <w:pageBreakBefore w:val="0"/>
        <w:spacing w:before="0" w:beforeAutospacing="0" w:after="0" w:afterAutospacing="0"/>
        <w:widowControl/>
        <w:rPr>
          <w:rFonts w:hint="eastAsia" w:ascii="宋体" w:hAnsi="宋体" w:eastAsia="宋体" w:cs="宋体"/>
          <w:color w:val="auto"/>
          <w:highlight w:val="none"/>
        </w:rPr>
        <w:suppressLineNumbers w:val="0"/>
      </w:pPr>
      <w:r>
        <w:rPr>
          <w:rFonts w:hint="eastAsia" w:ascii="宋体" w:hAnsi="宋体" w:eastAsia="宋体" w:cs="宋体"/>
          <w:color w:val="auto"/>
          <w:sz w:val="24"/>
          <w:szCs w:val="24"/>
          <w:highlight w:val="none"/>
          <w:lang w:val="en-US" w:eastAsia="zh-CN" w:bidi="ar-SA"/>
        </w:rPr>
        <w:t xml:space="preserve">项目编号：</w:t>
      </w:r>
      <w:r>
        <w:rPr>
          <w:rFonts w:hint="eastAsia" w:ascii="宋体" w:hAnsi="宋体" w:eastAsia="宋体" w:cs="宋体"/>
          <w:color w:val="auto"/>
          <w:highlight w:val="none"/>
        </w:rPr>
        <w:t xml:space="preserve">   </w:t>
      </w:r>
      <w:r/>
    </w:p>
    <w:tbl>
      <w:tblPr>
        <w:tblStyle w:val="923"/>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2431"/>
        <w:gridCol w:w="2426"/>
        <w:gridCol w:w="3613"/>
      </w:tblGrid>
      <w:tr>
        <w:trPr>
          <w:tblCellSpacing w:w="15" w:type="dxa"/>
        </w:trPr>
        <w:tc>
          <w:tcPr>
            <w:tcW w:w="2386" w:type="dxa"/>
            <w:vAlign w:val="center"/>
            <w:textDirection w:val="lrTb"/>
            <w:noWrap w:val="false"/>
          </w:tcPr>
          <w:p>
            <w:pPr>
              <w:pStyle w:val="933"/>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项目名称</w:t>
            </w:r>
            <w:r/>
          </w:p>
        </w:tc>
        <w:tc>
          <w:tcPr>
            <w:tcW w:w="2396" w:type="dxa"/>
            <w:vAlign w:val="center"/>
            <w:textDirection w:val="lrTb"/>
            <w:noWrap w:val="false"/>
          </w:tcPr>
          <w:p>
            <w:pPr>
              <w:pStyle w:val="933"/>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项目内容</w:t>
            </w:r>
            <w:r/>
          </w:p>
        </w:tc>
        <w:tc>
          <w:tcPr>
            <w:tcW w:w="3568" w:type="dxa"/>
            <w:vAlign w:val="center"/>
            <w:textDirection w:val="lrTb"/>
            <w:noWrap w:val="false"/>
          </w:tcPr>
          <w:p>
            <w:pPr>
              <w:pStyle w:val="933"/>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总价（小写）</w:t>
            </w:r>
            <w:r/>
          </w:p>
        </w:tc>
      </w:tr>
      <w:tr>
        <w:trPr>
          <w:tblCellSpacing w:w="15" w:type="dxa"/>
        </w:trPr>
        <w:tc>
          <w:tcPr>
            <w:tcW w:w="2386" w:type="dxa"/>
            <w:vAlign w:val="center"/>
            <w:textDirection w:val="lrTb"/>
            <w:noWrap w:val="false"/>
          </w:tcPr>
          <w:p>
            <w:pPr>
              <w:pStyle w:val="933"/>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 项目名称 </w:t>
            </w:r>
            <w:r/>
          </w:p>
        </w:tc>
        <w:tc>
          <w:tcPr>
            <w:tcW w:w="2396" w:type="dxa"/>
            <w:vAlign w:val="center"/>
            <w:textDirection w:val="lrTb"/>
            <w:noWrap w:val="false"/>
          </w:tcPr>
          <w:p>
            <w:pPr>
              <w:pStyle w:val="933"/>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详见响应文件</w:t>
            </w:r>
            <w:r/>
          </w:p>
        </w:tc>
        <w:tc>
          <w:tcPr>
            <w:tcW w:w="3568" w:type="dxa"/>
            <w:vAlign w:val="center"/>
            <w:textDirection w:val="lrTb"/>
            <w:noWrap w:val="false"/>
          </w:tcPr>
          <w:p>
            <w:pPr>
              <w:pStyle w:val="933"/>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  </w:t>
            </w: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695960" cy="231775"/>
                      <wp:effectExtent l="0" t="0" r="0" b="0"/>
                      <wp:docPr id="4" name=""/>
                      <wp:cNvGraphicFramePr/>
                      <a:graphic xmlns:a="http://schemas.openxmlformats.org/drawingml/2006/main">
                        <a:graphicData uri="http://schemas.microsoft.com/office/word/2010/wordprocessingShape">
                          <wps:wsp>
                            <wps:cNvPr id="0" name=""/>
                            <wps:cNvSpPr/>
                            <wps:spPr bwMode="auto">
                              <a:xfrm>
                                <a:off x="0" y="0"/>
                                <a:ext cx="695960" cy="231775"/>
                              </a:xfrm>
                              <a:prstGeom prst="rect">
                                <a:avLst/>
                              </a:prstGeom>
                              <a:blipFill>
                                <a:blip r:embed="rId14"/>
                                <a:stretch/>
                              </a:blipFill>
                              <a:ln>
                                <a:noFill/>
                              </a:ln>
                            </wps:spPr>
                            <wps:bodyPr rot="0">
                              <a:prstTxWarp prst="textNoShape">
                                <a:avLst/>
                              </a:prstTxWarp>
                              <a:noAutofit/>
                            </wps:bodyPr>
                          </wps:wsp>
                        </a:graphicData>
                      </a:graphic>
                    </wp:inline>
                  </w:drawing>
                </mc:Choice>
                <mc:Fallback>
                  <w:pict>
                    <v:shape id="shape 3" o:spid="_x0000_s3" o:spt="1" type="#_x0000_t1" style="width:54.8pt;height:18.2pt;mso-wrap-distance-left:0.0pt;mso-wrap-distance-top:0.0pt;mso-wrap-distance-right:0.0pt;mso-wrap-distance-bottom:0.0pt;visibility:visible;" stroked="f">
                      <v:fill r:id="rId14" o:title="" type="frame"/>
                    </v:shape>
                  </w:pict>
                </mc:Fallback>
              </mc:AlternateContent>
            </w:r>
            <w:r>
              <w:rPr>
                <w:rFonts w:hint="eastAsia" w:ascii="宋体" w:hAnsi="宋体" w:eastAsia="宋体" w:cs="宋体"/>
                <w:color w:val="auto"/>
                <w:highlight w:val="none"/>
              </w:rPr>
              <w:t xml:space="preserve">  元</w:t>
            </w:r>
            <w:r/>
          </w:p>
        </w:tc>
      </w:tr>
      <w:tr>
        <w:trPr>
          <w:tblCellSpacing w:w="15" w:type="dxa"/>
        </w:trPr>
        <w:tc>
          <w:tcPr>
            <w:tcW w:w="2386" w:type="dxa"/>
            <w:vAlign w:val="center"/>
            <w:textDirection w:val="lrTb"/>
            <w:noWrap w:val="false"/>
          </w:tcPr>
          <w:p>
            <w:pPr>
              <w:pStyle w:val="933"/>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总价（大写）：</w:t>
            </w:r>
            <w:r/>
          </w:p>
        </w:tc>
        <w:tc>
          <w:tcPr>
            <w:gridSpan w:val="2"/>
            <w:tcW w:w="5975" w:type="dxa"/>
            <w:vAlign w:val="center"/>
            <w:textDirection w:val="lrTb"/>
            <w:noWrap w:val="false"/>
          </w:tcPr>
          <w:p>
            <w:pPr>
              <w:pStyle w:val="933"/>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 金额大写 </w:t>
            </w:r>
            <w:r/>
          </w:p>
        </w:tc>
      </w:tr>
    </w:tbl>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29"/>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r>
      <w:r/>
    </w:p>
    <w:p>
      <w:pPr>
        <w:pStyle w:val="925"/>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25"/>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25"/>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25"/>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25"/>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25"/>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25"/>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25"/>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25"/>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25"/>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25"/>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25"/>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25"/>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 xml:space="preserve">九、中小企业声明函（</w:t>
      </w:r>
      <w:r>
        <w:rPr>
          <w:rFonts w:hint="eastAsia" w:ascii="宋体" w:hAnsi="宋体" w:cs="宋体"/>
          <w:b/>
          <w:bCs/>
          <w:color w:val="auto"/>
          <w:sz w:val="32"/>
          <w:szCs w:val="32"/>
          <w:highlight w:val="none"/>
          <w:lang w:val="en-US" w:eastAsia="zh-CN"/>
        </w:rPr>
        <w:t xml:space="preserve">服务</w:t>
      </w:r>
      <w:r>
        <w:rPr>
          <w:rFonts w:hint="eastAsia" w:ascii="宋体" w:hAnsi="宋体" w:eastAsia="宋体" w:cs="宋体"/>
          <w:b/>
          <w:bCs/>
          <w:color w:val="auto"/>
          <w:sz w:val="32"/>
          <w:szCs w:val="32"/>
          <w:highlight w:val="none"/>
        </w:rPr>
        <w:t xml:space="preserve">）</w:t>
      </w:r>
      <w:r/>
    </w:p>
    <w:p>
      <w:pPr>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720"/>
        <w:jc w:val="left"/>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（项目名称和标段）</w:t>
      </w:r>
      <w:r>
        <w:rPr>
          <w:rFonts w:hint="eastAsia" w:ascii="宋体" w:hAnsi="宋体" w:eastAsia="宋体" w:cs="宋体"/>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jc w:val="left"/>
        <w:spacing w:line="48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 </w:t>
      </w:r>
      <w:r>
        <w:rPr>
          <w:rFonts w:hint="eastAsia" w:ascii="宋体" w:hAnsi="宋体" w:eastAsia="宋体" w:cs="宋体"/>
          <w:color w:val="auto"/>
          <w:sz w:val="24"/>
          <w:szCs w:val="24"/>
          <w:highlight w:val="none"/>
          <w:u w:val="single"/>
        </w:rPr>
        <w:t xml:space="preserve">（标的名称）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其他未列明行业</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；承建（承接）企业为 </w:t>
      </w:r>
      <w:r>
        <w:rPr>
          <w:rFonts w:hint="eastAsia" w:ascii="宋体" w:hAnsi="宋体" w:eastAsia="宋体" w:cs="宋体"/>
          <w:color w:val="auto"/>
          <w:sz w:val="24"/>
          <w:szCs w:val="24"/>
          <w:highlight w:val="none"/>
          <w:u w:val="single"/>
        </w:rPr>
        <w:t xml:space="preserve">（企业名称） </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firstLine="480"/>
        <w:jc w:val="left"/>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80"/>
        <w:jc w:val="left"/>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jc w:val="left"/>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840"/>
        <w:jc w:val="left"/>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w:t>
      </w:r>
      <w:r/>
    </w:p>
    <w:p>
      <w:pPr>
        <w:jc w:val="cente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p>
    <w:p>
      <w:pPr>
        <w:pStyle w:val="94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9"/>
        <w:ind w:firstLine="480"/>
        <w:jc w:val="lef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（备注：1、参照《关于印发中小企业划型标准规定的通知》（工信部联企业【2011】300号）文件，</w:t>
      </w:r>
      <w:bookmarkStart w:id="197" w:name="OLE_LINK6"/>
      <w:r>
        <w:rPr>
          <w:rFonts w:hint="eastAsia" w:ascii="宋体" w:hAnsi="宋体" w:eastAsia="宋体" w:cs="宋体"/>
          <w:color w:val="auto"/>
          <w:sz w:val="24"/>
          <w:szCs w:val="24"/>
          <w:highlight w:val="none"/>
        </w:rPr>
        <w:t xml:space="preserve">本项目所属行业为</w:t>
      </w:r>
      <w:r>
        <w:rPr>
          <w:rFonts w:hint="eastAsia" w:ascii="宋体" w:hAnsi="宋体" w:eastAsia="宋体" w:cs="宋体"/>
          <w:b/>
          <w:bCs/>
          <w:color w:val="auto"/>
          <w:sz w:val="24"/>
          <w:szCs w:val="24"/>
          <w:highlight w:val="none"/>
          <w:u w:val="single"/>
        </w:rPr>
        <w:t xml:space="preserve">其他未列明行业</w:t>
      </w:r>
      <w:bookmarkEnd w:id="197"/>
      <w:r>
        <w:rPr>
          <w:rFonts w:hint="eastAsia" w:ascii="宋体" w:hAnsi="宋体" w:eastAsia="宋体" w:cs="宋体"/>
          <w:color w:val="auto"/>
          <w:sz w:val="24"/>
          <w:szCs w:val="24"/>
          <w:highlight w:val="none"/>
        </w:rPr>
        <w:t xml:space="preserve">。2、请如实填写属于中型企业或小型企业或微型企业。3、</w:t>
      </w:r>
      <w:r>
        <w:rPr>
          <w:rFonts w:hint="eastAsia" w:ascii="宋体" w:hAnsi="宋体" w:eastAsia="宋体" w:cs="宋体"/>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从业人员、营业收入、资产总额填报上一年度数据，无上一年度数据的新成立企业可不填报。） </w:t>
      </w:r>
      <w:r>
        <w:rPr>
          <w:color w:val="auto"/>
          <w:highlight w:val="none"/>
        </w:rPr>
        <w:br w:type="page" w:clear="all"/>
      </w:r>
      <w:r>
        <w:rPr>
          <w:rFonts w:hint="eastAsia" w:ascii="宋体" w:hAnsi="宋体" w:eastAsia="宋体" w:cs="宋体"/>
          <w:b/>
          <w:bCs/>
          <w:color w:val="auto"/>
          <w:sz w:val="32"/>
          <w:szCs w:val="32"/>
          <w:highlight w:val="none"/>
        </w:rPr>
        <w:t xml:space="preserve">残疾人福利性单位声明函</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 民政部 中国残疾人联合会关于促进残疾人就业政府采购政策的通知》（财库〔2017〕 141号）的规定，本单位  是</w:t>
      </w:r>
      <w:r>
        <w:rPr>
          <w:rFonts w:hint="eastAsia" w:ascii="宋体" w:hAnsi="宋体" w:eastAsia="宋体" w:cs="宋体"/>
          <w:color w:val="auto"/>
          <w:sz w:val="24"/>
          <w:szCs w:val="24"/>
          <w:highlight w:val="none"/>
          <w:u w:val="single"/>
        </w:rPr>
        <w:t xml:space="preserve">/否  为</w:t>
      </w:r>
      <w:r>
        <w:rPr>
          <w:rFonts w:hint="eastAsia" w:ascii="宋体" w:hAnsi="宋体" w:eastAsia="宋体" w:cs="宋体"/>
          <w:color w:val="auto"/>
          <w:sz w:val="24"/>
          <w:szCs w:val="24"/>
          <w:highlight w:val="none"/>
        </w:rPr>
        <w:t xml:space="preserve">符合条件的残疾人福利性单位，且本单位参加______单位的采购文件编号为______的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项目采购活动提供本单位制造的货物，或者提供其他残疾人福利性单位制造的货物（不包括使用非残疾人福利性单位注册商标的货物）。</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6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right="1560" w:firstLine="624"/>
        <w:jc w:val="center"/>
        <w:spacing w:line="360" w:lineRule="auto"/>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30"/>
          <w:szCs w:val="30"/>
          <w:highlight w:val="none"/>
        </w:rPr>
        <w:t xml:space="preserve">       </w:t>
      </w:r>
      <w:r>
        <w:rPr>
          <w:rFonts w:hint="eastAsia" w:ascii="宋体" w:hAnsi="宋体" w:eastAsia="宋体" w:cs="宋体"/>
          <w:color w:val="auto"/>
          <w:sz w:val="24"/>
          <w:szCs w:val="24"/>
          <w:highlight w:val="none"/>
        </w:rPr>
        <w:t xml:space="preserve">供应商全称（加盖CA电子公章）：</w:t>
      </w:r>
      <w:r/>
    </w:p>
    <w:p>
      <w:pPr>
        <w:ind w:right="1560" w:firstLine="480"/>
        <w:jc w:val="center"/>
        <w:spacing w:line="360" w:lineRule="auto"/>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  期：</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944"/>
        <w:rPr>
          <w:rFonts w:hint="eastAsia" w:ascii="宋体" w:hAnsi="宋体" w:eastAsia="宋体" w:cs="宋体"/>
          <w:b/>
          <w:bCs/>
          <w:color w:val="auto"/>
          <w:sz w:val="32"/>
          <w:szCs w:val="32"/>
          <w:highlight w:val="none"/>
          <w:lang w:val="en-US" w:eastAsia="en-US" w:bidi="ar-SA"/>
        </w:rPr>
      </w:pPr>
      <w:r>
        <w:rPr>
          <w:rFonts w:hint="eastAsia" w:ascii="宋体" w:hAnsi="宋体" w:eastAsia="宋体" w:cs="宋体"/>
          <w:b/>
          <w:bCs/>
          <w:color w:val="auto"/>
          <w:sz w:val="32"/>
          <w:szCs w:val="32"/>
          <w:highlight w:val="none"/>
          <w:lang w:val="en-US" w:eastAsia="en-US" w:bidi="ar-SA"/>
        </w:rPr>
      </w:r>
      <w:r/>
    </w:p>
    <w:p>
      <w:pPr>
        <w:pStyle w:val="944"/>
        <w:jc w:val="center"/>
        <w:rPr>
          <w:rFonts w:hint="eastAsia" w:ascii="宋体" w:hAnsi="宋体" w:eastAsia="宋体" w:cs="宋体"/>
          <w:b/>
          <w:bCs/>
          <w:color w:val="auto"/>
          <w:sz w:val="32"/>
          <w:szCs w:val="32"/>
          <w:highlight w:val="none"/>
          <w:lang w:val="en-US" w:eastAsia="en-US" w:bidi="ar-SA"/>
        </w:rPr>
      </w:pPr>
      <w:r>
        <w:rPr>
          <w:rFonts w:hint="eastAsia" w:ascii="宋体" w:hAnsi="宋体" w:eastAsia="宋体" w:cs="宋体"/>
          <w:b/>
          <w:bCs/>
          <w:color w:val="auto"/>
          <w:sz w:val="32"/>
          <w:szCs w:val="32"/>
          <w:highlight w:val="none"/>
          <w:lang w:val="en-US" w:eastAsia="en-US" w:bidi="ar-SA"/>
        </w:rPr>
        <w:t xml:space="preserve">监狱企业证明材料（如有，非监狱企业不需提供）</w:t>
      </w:r>
      <w:r/>
    </w:p>
    <w:p>
      <w:pPr>
        <w:ind w:firstLine="480"/>
        <w:spacing w:line="8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参加政府采购活动的监狱企业应当提供省级以上监狱管理局、戒毒管理局（含新疆生产建设兵团）出具的属于监狱企业的证明文件扫描件并</w:t>
      </w:r>
      <w:r>
        <w:rPr>
          <w:rFonts w:hint="eastAsia" w:ascii="宋体" w:hAnsi="宋体" w:eastAsia="宋体" w:cs="宋体"/>
          <w:color w:val="auto"/>
          <w:sz w:val="24"/>
          <w:szCs w:val="24"/>
          <w:highlight w:val="none"/>
        </w:rPr>
        <w:t xml:space="preserve">加盖CA电子公章</w:t>
      </w:r>
      <w:r>
        <w:rPr>
          <w:rFonts w:hint="eastAsia" w:ascii="宋体" w:hAnsi="宋体" w:eastAsia="宋体" w:cs="宋体"/>
          <w:bCs/>
          <w:color w:val="auto"/>
          <w:sz w:val="24"/>
          <w:szCs w:val="24"/>
          <w:highlight w:val="none"/>
        </w:rPr>
        <w:t xml:space="preserve">。</w:t>
      </w:r>
      <w:r/>
    </w:p>
    <w:p>
      <w:pPr>
        <w:pStyle w:val="934"/>
        <w:ind w:firstLine="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934"/>
        <w:ind w:firstLine="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934"/>
        <w:ind w:firstLine="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934"/>
        <w:ind w:firstLine="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934"/>
        <w:ind w:firstLine="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934"/>
        <w:ind w:firstLine="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934"/>
        <w:ind w:firstLine="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939"/>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941"/>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jc w:val="center"/>
        <w:spacing w:line="520" w:lineRule="exact"/>
        <w:tabs>
          <w:tab w:val="left" w:pos="2340" w:leader="none"/>
          <w:tab w:val="left" w:pos="2520" w:leader="none"/>
          <w:tab w:val="left" w:pos="2700" w:leader="none"/>
          <w:tab w:val="left" w:pos="3060" w:leader="none"/>
        </w:tabs>
        <w:rPr>
          <w:rFonts w:hint="eastAsia" w:ascii="宋体" w:hAnsi="宋体" w:eastAsia="宋体" w:cs="宋体"/>
          <w:b/>
          <w:color w:val="auto"/>
          <w:sz w:val="30"/>
          <w:szCs w:val="30"/>
          <w:highlight w:val="none"/>
        </w:rPr>
      </w:pPr>
      <w:r>
        <w:rPr>
          <w:rFonts w:hint="eastAsia" w:ascii="宋体" w:hAnsi="宋体" w:eastAsia="宋体" w:cs="宋体"/>
          <w:b/>
          <w:bCs/>
          <w:color w:val="auto"/>
          <w:sz w:val="32"/>
          <w:szCs w:val="32"/>
          <w:highlight w:val="none"/>
          <w:lang w:val="en-US" w:eastAsia="zh-CN" w:bidi="ar-SA"/>
        </w:rPr>
        <w:t xml:space="preserve">十、</w:t>
      </w:r>
      <w:bookmarkEnd w:id="196"/>
      <w:r/>
      <w:bookmarkStart w:id="198" w:name="_格式2__法定代表人授权书"/>
      <w:r>
        <w:rPr>
          <w:rFonts w:hint="eastAsia" w:ascii="宋体" w:hAnsi="宋体" w:eastAsia="宋体" w:cs="宋体"/>
          <w:b/>
          <w:color w:val="auto"/>
          <w:sz w:val="30"/>
          <w:szCs w:val="30"/>
          <w:highlight w:val="none"/>
        </w:rPr>
        <w:t xml:space="preserve">商务及技术要求响应及偏离表</w:t>
      </w:r>
      <w:r/>
    </w:p>
    <w:p>
      <w:pPr>
        <w:jc w:val="center"/>
        <w:spacing w:line="520" w:lineRule="exact"/>
        <w:tabs>
          <w:tab w:val="left" w:pos="2340" w:leader="none"/>
          <w:tab w:val="left" w:pos="2520" w:leader="none"/>
          <w:tab w:val="left" w:pos="2700" w:leader="none"/>
          <w:tab w:val="left" w:pos="3060" w:leader="none"/>
        </w:tabs>
        <w:rPr>
          <w:rFonts w:hint="eastAsia" w:ascii="宋体" w:hAnsi="宋体" w:eastAsia="宋体" w:cs="宋体"/>
          <w:b/>
          <w:color w:val="auto"/>
          <w:highlight w:val="none"/>
        </w:rPr>
      </w:pPr>
      <w:r>
        <w:rPr>
          <w:rFonts w:hint="eastAsia" w:ascii="宋体" w:hAnsi="宋体" w:eastAsia="宋体" w:cs="宋体"/>
          <w:b/>
          <w:color w:val="auto"/>
          <w:highlight w:val="none"/>
        </w:rPr>
      </w:r>
      <w:r/>
    </w:p>
    <w:tbl>
      <w:tblPr>
        <w:tblStyle w:val="923"/>
        <w:tblW w:w="9201" w:type="dxa"/>
        <w:tblInd w:w="-381"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64"/>
        <w:gridCol w:w="2327"/>
        <w:gridCol w:w="2558"/>
        <w:gridCol w:w="1590"/>
        <w:gridCol w:w="1962"/>
      </w:tblGrid>
      <w:tr>
        <w:trPr>
          <w:trHeight w:val="835"/>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采购要求</w:t>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w:t>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有无偏离</w:t>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偏离内容及原因</w:t>
            </w:r>
            <w:r/>
          </w:p>
        </w:tc>
      </w:tr>
      <w:tr>
        <w:trPr>
          <w:trHeight w:val="970"/>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ind w:firstLine="420"/>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ind w:firstLine="420"/>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ind w:firstLine="420"/>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ind w:firstLine="420"/>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ind w:firstLine="520"/>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注：</w:t>
      </w:r>
      <w:r/>
    </w:p>
    <w:p>
      <w:pPr>
        <w:ind w:firstLine="482"/>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若无偏离，在“有无偏离”栏中填写“无”；若有偏离在“有无偏离”栏中填写“有”并在“偏离内容及原因”栏中作出说明。</w:t>
      </w:r>
      <w:r>
        <w:rPr>
          <w:rFonts w:hint="eastAsia" w:ascii="宋体" w:hAnsi="宋体" w:eastAsia="宋体" w:cs="宋体"/>
          <w:b/>
          <w:bCs/>
          <w:color w:val="auto"/>
          <w:sz w:val="24"/>
          <w:highlight w:val="none"/>
          <w:lang w:val="en-US" w:eastAsia="zh-CN"/>
        </w:rPr>
        <w:t xml:space="preserve">未注明或未填写任何内容的，视为全部响应。</w:t>
      </w:r>
      <w:r/>
    </w:p>
    <w:p>
      <w:pPr>
        <w:pStyle w:val="945"/>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45"/>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45"/>
        <w:spacing w:before="0" w:beforeAutospacing="0" w:after="0" w:afterAutospacing="0"/>
        <w:rPr>
          <w:rFonts w:hint="eastAsia" w:ascii="宋体" w:hAnsi="宋体" w:eastAsia="宋体" w:cs="宋体"/>
          <w:color w:val="auto"/>
          <w:szCs w:val="24"/>
          <w:highlight w:val="none"/>
        </w:rPr>
      </w:pPr>
      <w:r>
        <w:rPr>
          <w:rFonts w:hint="eastAsia" w:cs="宋体"/>
          <w:color w:val="auto"/>
          <w:szCs w:val="24"/>
          <w:highlight w:val="none"/>
          <w:lang w:val="en-US" w:eastAsia="zh-CN"/>
        </w:rPr>
        <w:t xml:space="preserve">响应单位</w:t>
      </w:r>
      <w:r>
        <w:rPr>
          <w:rFonts w:hint="eastAsia" w:ascii="宋体" w:hAnsi="宋体" w:eastAsia="宋体" w:cs="宋体"/>
          <w:color w:val="auto"/>
          <w:szCs w:val="24"/>
          <w:highlight w:val="none"/>
        </w:rPr>
        <w:t xml:space="preserve">（</w:t>
      </w:r>
      <w:r>
        <w:rPr>
          <w:rFonts w:hint="eastAsia" w:ascii="宋体" w:hAnsi="宋体" w:eastAsia="宋体" w:cs="宋体"/>
          <w:bCs/>
          <w:color w:val="auto"/>
          <w:highlight w:val="none"/>
        </w:rPr>
        <w:t xml:space="preserve">加盖CA电子公章</w:t>
      </w:r>
      <w:r>
        <w:rPr>
          <w:rFonts w:hint="eastAsia" w:ascii="宋体" w:hAnsi="宋体" w:eastAsia="宋体" w:cs="宋体"/>
          <w:color w:val="auto"/>
          <w:szCs w:val="24"/>
          <w:highlight w:val="none"/>
        </w:rPr>
        <w:t xml:space="preserve">）：</w:t>
      </w:r>
      <w:r/>
    </w:p>
    <w:p>
      <w:pPr>
        <w:pStyle w:val="945"/>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法定代表人或法定代表人授权代表（签字或盖章）：</w:t>
      </w:r>
      <w:r/>
    </w:p>
    <w:p>
      <w:pPr>
        <w:pStyle w:val="945"/>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日期：</w:t>
      </w:r>
      <w:r/>
    </w:p>
    <w:p>
      <w:pPr>
        <w:ind w:right="480" w:firstLine="50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935"/>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5"/>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5"/>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5"/>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7"/>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7"/>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7"/>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 xml:space="preserve">十</w:t>
      </w:r>
      <w:r>
        <w:rPr>
          <w:rFonts w:hint="eastAsia" w:ascii="宋体" w:hAnsi="宋体" w:cs="宋体"/>
          <w:b/>
          <w:bCs/>
          <w:color w:val="auto"/>
          <w:sz w:val="32"/>
          <w:szCs w:val="32"/>
          <w:highlight w:val="none"/>
          <w:lang w:val="en-US" w:eastAsia="zh-CN"/>
        </w:rPr>
        <w:t xml:space="preserve">一</w:t>
      </w:r>
      <w:r>
        <w:rPr>
          <w:rFonts w:hint="eastAsia" w:ascii="宋体" w:hAnsi="宋体" w:eastAsia="宋体" w:cs="宋体"/>
          <w:b/>
          <w:bCs/>
          <w:color w:val="auto"/>
          <w:sz w:val="32"/>
          <w:szCs w:val="32"/>
          <w:highlight w:val="none"/>
        </w:rPr>
        <w:t xml:space="preserve">、</w:t>
      </w:r>
      <w:r>
        <w:rPr>
          <w:rFonts w:hint="eastAsia" w:ascii="宋体" w:hAnsi="宋体" w:cs="宋体"/>
          <w:b/>
          <w:bCs/>
          <w:color w:val="auto"/>
          <w:sz w:val="32"/>
          <w:szCs w:val="32"/>
          <w:highlight w:val="none"/>
          <w:lang w:val="en-US" w:eastAsia="zh-CN"/>
        </w:rPr>
        <w:t xml:space="preserve">响应</w:t>
      </w:r>
      <w:r>
        <w:rPr>
          <w:rFonts w:hint="eastAsia" w:ascii="宋体" w:hAnsi="宋体" w:eastAsia="宋体" w:cs="宋体"/>
          <w:b/>
          <w:bCs/>
          <w:color w:val="auto"/>
          <w:sz w:val="32"/>
          <w:szCs w:val="32"/>
          <w:highlight w:val="none"/>
        </w:rPr>
        <w:t xml:space="preserve">承诺书</w:t>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供应商名称</w:t>
      </w:r>
      <w:r>
        <w:rPr>
          <w:rFonts w:hint="eastAsia" w:ascii="宋体" w:hAnsi="宋体" w:eastAsia="宋体" w:cs="宋体"/>
          <w:color w:val="auto"/>
          <w:sz w:val="24"/>
          <w:szCs w:val="24"/>
          <w:highlight w:val="none"/>
        </w:rPr>
        <w:t xml:space="preserve">）在此承诺：</w:t>
      </w:r>
      <w:r/>
    </w:p>
    <w:p>
      <w:pPr>
        <w:ind w:firstLine="480"/>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1.本公司（单位）对本项目（项目编号：              ）所提供的服务不低于采购文件要求的标准。</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本公司未被“</w:t>
      </w:r>
      <w:r>
        <w:rPr>
          <w:rFonts w:hint="eastAsia" w:ascii="宋体" w:hAnsi="宋体" w:eastAsia="宋体" w:cs="宋体"/>
          <w:bCs/>
          <w:color w:val="auto"/>
          <w:sz w:val="24"/>
          <w:szCs w:val="24"/>
          <w:highlight w:val="none"/>
        </w:rPr>
        <w:t xml:space="preserve">信用中国</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eastAsia="宋体" w:cs="宋体"/>
          <w:bCs/>
          <w:color w:val="auto"/>
          <w:sz w:val="24"/>
          <w:szCs w:val="24"/>
          <w:highlight w:val="none"/>
        </w:rPr>
        <w:t xml:space="preserve">www.creditchina.gov.cn</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列入失信</w:t>
      </w:r>
      <w:r>
        <w:rPr>
          <w:rFonts w:hint="eastAsia" w:ascii="宋体" w:hAnsi="宋体" w:eastAsia="宋体" w:cs="宋体"/>
          <w:color w:val="auto"/>
          <w:sz w:val="24"/>
          <w:szCs w:val="24"/>
          <w:highlight w:val="none"/>
          <w:lang w:val="en-US" w:eastAsia="zh-CN"/>
        </w:rPr>
        <w:t xml:space="preserve">被</w:t>
      </w:r>
      <w:r>
        <w:rPr>
          <w:rFonts w:hint="eastAsia" w:ascii="宋体" w:hAnsi="宋体" w:eastAsia="宋体" w:cs="宋体"/>
          <w:color w:val="auto"/>
          <w:sz w:val="24"/>
          <w:szCs w:val="24"/>
          <w:highlight w:val="none"/>
        </w:rPr>
        <w:t xml:space="preserve">执行人、重大税收违法</w:t>
      </w:r>
      <w:r>
        <w:rPr>
          <w:rFonts w:hint="eastAsia" w:ascii="宋体" w:hAnsi="宋体" w:eastAsia="宋体" w:cs="宋体"/>
          <w:color w:val="auto"/>
          <w:sz w:val="24"/>
          <w:szCs w:val="24"/>
          <w:highlight w:val="none"/>
          <w:lang w:val="en-US" w:eastAsia="zh-CN"/>
        </w:rPr>
        <w:t xml:space="preserve">失信主体</w:t>
      </w:r>
      <w:r>
        <w:rPr>
          <w:rFonts w:hint="eastAsia" w:ascii="宋体" w:hAnsi="宋体" w:eastAsia="宋体" w:cs="宋体"/>
          <w:color w:val="auto"/>
          <w:sz w:val="24"/>
          <w:szCs w:val="24"/>
          <w:highlight w:val="none"/>
        </w:rPr>
        <w:t xml:space="preserve">、政府采购严重违法失信行为记录名单。</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.对磋商文件中所提及的</w:t>
      </w:r>
      <w:r>
        <w:rPr>
          <w:rFonts w:hint="eastAsia" w:ascii="宋体" w:hAnsi="宋体" w:eastAsia="宋体" w:cs="宋体"/>
          <w:color w:val="auto"/>
          <w:sz w:val="24"/>
          <w:szCs w:val="24"/>
          <w:highlight w:val="none"/>
          <w:lang w:val="en-US" w:eastAsia="zh-CN"/>
        </w:rPr>
        <w:t xml:space="preserve">质量要求、服务要求、验收要求、售后服务要求等</w:t>
      </w:r>
      <w:r>
        <w:rPr>
          <w:rFonts w:hint="eastAsia" w:ascii="宋体" w:hAnsi="宋体" w:eastAsia="宋体" w:cs="宋体"/>
          <w:color w:val="auto"/>
          <w:sz w:val="24"/>
          <w:szCs w:val="24"/>
          <w:highlight w:val="none"/>
        </w:rPr>
        <w:t xml:space="preserve">条款，本公司（单位）承诺将严格按照条款要求执行。</w:t>
      </w:r>
      <w:r/>
    </w:p>
    <w:p>
      <w:pPr>
        <w:pStyle w:val="946"/>
        <w:ind w:right="0"/>
        <w:keepLines w:val="0"/>
        <w:keepNext w:val="0"/>
        <w:pageBreakBefore w:val="0"/>
        <w:spacing w:line="52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本公司</w:t>
      </w:r>
      <w:r>
        <w:rPr>
          <w:rFonts w:hint="eastAsia" w:ascii="宋体" w:hAnsi="宋体" w:eastAsia="宋体" w:cs="宋体"/>
          <w:color w:val="auto"/>
          <w:sz w:val="24"/>
          <w:szCs w:val="24"/>
          <w:highlight w:val="none"/>
          <w:lang w:val="en-US" w:eastAsia="zh-CN"/>
        </w:rPr>
        <w:t xml:space="preserve">承诺，如</w:t>
      </w:r>
      <w:r>
        <w:rPr>
          <w:rFonts w:hint="eastAsia" w:ascii="宋体" w:hAnsi="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lang w:val="en-US" w:eastAsia="zh-CN"/>
        </w:rPr>
        <w:t xml:space="preserve">，将</w:t>
      </w:r>
      <w:r>
        <w:rPr>
          <w:rFonts w:hint="eastAsia" w:ascii="宋体" w:hAnsi="宋体" w:cs="宋体"/>
          <w:color w:val="auto"/>
          <w:sz w:val="24"/>
          <w:szCs w:val="24"/>
          <w:highlight w:val="none"/>
          <w:lang w:val="en-US" w:eastAsia="zh-CN"/>
        </w:rPr>
        <w:t xml:space="preserve">按要求提供服务。</w:t>
      </w:r>
      <w:r/>
    </w:p>
    <w:p>
      <w:pPr>
        <w:pStyle w:val="946"/>
        <w:ind w:right="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.其他承诺（供应商可自行增加）：……</w:t>
      </w:r>
      <w:r/>
    </w:p>
    <w:p>
      <w:pPr>
        <w:ind w:firstLine="480"/>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如违背上述承诺，本公司</w:t>
      </w:r>
      <w:r>
        <w:rPr>
          <w:rFonts w:hint="eastAsia" w:ascii="宋体" w:hAnsi="宋体" w:eastAsia="宋体" w:cs="宋体"/>
          <w:color w:val="auto"/>
          <w:sz w:val="24"/>
          <w:szCs w:val="24"/>
          <w:highlight w:val="none"/>
        </w:rPr>
        <w:t xml:space="preserve">（单位）</w:t>
      </w:r>
      <w:r>
        <w:rPr>
          <w:rFonts w:hint="eastAsia" w:ascii="宋体" w:hAnsi="宋体" w:eastAsia="宋体" w:cs="宋体"/>
          <w:bCs/>
          <w:color w:val="auto"/>
          <w:sz w:val="24"/>
          <w:szCs w:val="24"/>
          <w:highlight w:val="none"/>
        </w:rPr>
        <w:t xml:space="preserve">将承担一切法律责任。</w:t>
      </w:r>
      <w:r/>
    </w:p>
    <w:p>
      <w:pPr>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34"/>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39"/>
        <w:rPr>
          <w:rFonts w:hint="eastAsia" w:ascii="宋体" w:hAnsi="宋体" w:eastAsia="宋体" w:cs="宋体"/>
          <w:color w:val="auto"/>
          <w:highlight w:val="none"/>
        </w:rPr>
      </w:pPr>
      <w:r>
        <w:rPr>
          <w:rFonts w:hint="eastAsia" w:ascii="宋体" w:hAnsi="宋体" w:eastAsia="宋体" w:cs="宋体"/>
          <w:color w:val="auto"/>
          <w:highlight w:val="none"/>
        </w:rPr>
      </w:r>
      <w:r/>
    </w:p>
    <w:p>
      <w:pPr>
        <w:ind w:right="1560" w:firstLine="624"/>
        <w:jc w:val="center"/>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供应商全称（加盖CA电子公章）：</w:t>
      </w:r>
      <w:r/>
    </w:p>
    <w:p>
      <w:pPr>
        <w:ind w:right="1560" w:firstLine="480"/>
        <w:jc w:val="center"/>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right="1560" w:firstLine="480"/>
        <w:jc w:val="center"/>
        <w:tabs>
          <w:tab w:val="left" w:pos="4860" w:leader="none"/>
        </w:tabs>
        <w:rPr>
          <w:rFonts w:hint="eastAsia" w:ascii="宋体" w:hAnsi="宋体" w:eastAsia="宋体" w:cs="宋体"/>
          <w:b/>
          <w:bCs/>
          <w:color w:val="auto"/>
          <w:sz w:val="32"/>
          <w:szCs w:val="32"/>
          <w:highlight w:val="none"/>
        </w:rPr>
      </w:pPr>
      <w:r>
        <w:rPr>
          <w:rFonts w:hint="eastAsia" w:ascii="宋体" w:hAnsi="宋体" w:eastAsia="宋体" w:cs="宋体"/>
          <w:color w:val="auto"/>
          <w:sz w:val="24"/>
          <w:szCs w:val="24"/>
          <w:highlight w:val="none"/>
        </w:rPr>
        <w:t xml:space="preserve">日  期：</w:t>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480"/>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480"/>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37"/>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37"/>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37"/>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37"/>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37"/>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37"/>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28"/>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39"/>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十</w:t>
      </w:r>
      <w:r>
        <w:rPr>
          <w:rFonts w:hint="eastAsia" w:ascii="宋体" w:hAnsi="宋体" w:cs="宋体"/>
          <w:b/>
          <w:bCs/>
          <w:color w:val="auto"/>
          <w:sz w:val="32"/>
          <w:szCs w:val="32"/>
          <w:highlight w:val="none"/>
          <w:lang w:val="en-US" w:eastAsia="zh-CN"/>
        </w:rPr>
        <w:t xml:space="preserve">二</w:t>
      </w:r>
      <w:r>
        <w:rPr>
          <w:rFonts w:hint="eastAsia" w:ascii="宋体" w:hAnsi="宋体" w:eastAsia="宋体" w:cs="宋体"/>
          <w:b/>
          <w:bCs/>
          <w:color w:val="auto"/>
          <w:sz w:val="32"/>
          <w:szCs w:val="32"/>
          <w:highlight w:val="none"/>
        </w:rPr>
        <w:t xml:space="preserve">、按照评分办法应当递交的其他资料</w:t>
      </w:r>
      <w:bookmarkEnd w:id="198"/>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37"/>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37"/>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37"/>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37"/>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37"/>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37"/>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37"/>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37"/>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37"/>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37"/>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37"/>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37"/>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37"/>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37"/>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37"/>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37"/>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37"/>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37"/>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37"/>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37"/>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37"/>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37"/>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37"/>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37"/>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37"/>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37"/>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37"/>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37"/>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560" w:lineRule="exact"/>
        <w:rPr>
          <w:rFonts w:hint="eastAsia" w:ascii="宋体" w:hAnsi="宋体" w:eastAsia="宋体" w:cs="宋体"/>
          <w:b/>
          <w:bCs/>
          <w:color w:val="auto"/>
          <w:sz w:val="24"/>
          <w:highlight w:val="none"/>
        </w:rPr>
      </w:pPr>
      <w:r>
        <w:rPr>
          <w:rFonts w:hint="eastAsia" w:ascii="宋体" w:hAnsi="宋体" w:eastAsia="宋体" w:cs="宋体"/>
          <w:b/>
          <w:bCs/>
          <w:color w:val="auto"/>
          <w:sz w:val="32"/>
          <w:szCs w:val="32"/>
          <w:highlight w:val="none"/>
        </w:rPr>
        <w:t xml:space="preserve">十</w:t>
      </w:r>
      <w:r>
        <w:rPr>
          <w:rFonts w:hint="eastAsia" w:ascii="宋体" w:hAnsi="宋体" w:cs="宋体"/>
          <w:b/>
          <w:bCs/>
          <w:color w:val="auto"/>
          <w:sz w:val="32"/>
          <w:szCs w:val="32"/>
          <w:highlight w:val="none"/>
          <w:lang w:val="en-US" w:eastAsia="zh-CN"/>
        </w:rPr>
        <w:t xml:space="preserve">三</w:t>
      </w:r>
      <w:r>
        <w:rPr>
          <w:rFonts w:hint="eastAsia" w:ascii="宋体" w:hAnsi="宋体" w:eastAsia="宋体" w:cs="宋体"/>
          <w:b/>
          <w:bCs/>
          <w:color w:val="auto"/>
          <w:sz w:val="32"/>
          <w:szCs w:val="32"/>
          <w:highlight w:val="none"/>
        </w:rPr>
        <w:t xml:space="preserve">、质疑函范本</w:t>
      </w:r>
      <w:r/>
    </w:p>
    <w:p>
      <w:pPr>
        <w:spacing w:before="287"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一、质疑供应商基本信息</w:t>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质疑供应商：</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地址：邮编：</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联系人：联系电话：</w:t>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授权代表：</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地址：邮编：</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二、质疑项目基本情况</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质疑项目的名称：</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质疑项目的编号：              包号：</w:t>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采购人名称：</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采购文件获取日期：</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三、质疑事项具体内容</w:t>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质疑事项1：</w:t>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事实依据：</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法律依据：</w:t>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质疑事项2</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四、与质疑事项相关的质疑请求</w:t>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请求：</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签字（签章）：                   公章：                      </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w:t>
      </w:r>
      <w:r/>
    </w:p>
    <w:p>
      <w:pPr>
        <w:pStyle w:val="94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4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4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4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4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质疑函制作说明：</w:t>
      </w:r>
      <w:r/>
    </w:p>
    <w:p>
      <w:pPr>
        <w:ind w:firstLine="598"/>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1.供应商提出质疑时，应提交质疑函和必要的证明材料。</w:t>
      </w:r>
      <w:r/>
    </w:p>
    <w:p>
      <w:pPr>
        <w:ind w:firstLine="598"/>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98"/>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3.质疑供应商对项目的某一分包进行质疑，质疑函中应列明具体分包号。</w:t>
      </w:r>
      <w:r/>
    </w:p>
    <w:p>
      <w:pPr>
        <w:ind w:firstLine="598"/>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4.质疑函的质疑事项应具体、明确，并有必要的事实依据和法律依据。</w:t>
      </w:r>
      <w:r/>
    </w:p>
    <w:p>
      <w:pPr>
        <w:ind w:firstLine="598"/>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5.质疑函的质疑请求应与质疑事项相关。</w:t>
      </w:r>
      <w:r/>
    </w:p>
    <w:p>
      <w:pPr>
        <w:ind w:firstLine="598"/>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598"/>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7.按该表格填写，一式两份，并将该函和相关证据盖公章在规定的时间内分别送达采购人和采购代理机构。</w:t>
      </w:r>
      <w:r/>
    </w:p>
    <w:p>
      <w:pPr>
        <w:pStyle w:val="934"/>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34"/>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34"/>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34"/>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34"/>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34"/>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34"/>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34"/>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34"/>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34"/>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34"/>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34"/>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34"/>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34"/>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34"/>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34"/>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34"/>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highlight w:val="none"/>
        </w:rPr>
      </w:pPr>
      <w:r>
        <w:rPr>
          <w:highlight w:val="none"/>
        </w:rPr>
      </w:r>
      <w:r/>
    </w:p>
    <w:sectPr>
      <w:footerReference w:type="default" r:id="rId12"/>
      <w:footnotePr/>
      <w:endnotePr/>
      <w:type w:val="nextPage"/>
      <w:pgSz w:w="11906" w:h="16838" w:orient="portrait"/>
      <w:pgMar w:top="1429" w:right="1633" w:bottom="1440" w:left="1582"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Courier New">
    <w:panose1 w:val="02070309020205020404"/>
  </w:font>
  <w:font w:name="Times New Roman">
    <w:panose1 w:val="02020603050405020304"/>
  </w:font>
  <w:font w:name="微软雅黑">
    <w:panose1 w:val="020B0503020204020204"/>
  </w:font>
  <w:font w:name="Calibri">
    <w:panose1 w:val="020F0502020204030204"/>
  </w:font>
  <w:font w:name="Verdana">
    <w:panose1 w:val="020B0604030504040204"/>
  </w:font>
  <w:font w:name="仿宋_GB2312">
    <w:panose1 w:val="02010609060101010101"/>
  </w:font>
  <w:font w:name="黑体">
    <w:panose1 w:val="02010609060101010101"/>
  </w:font>
  <w:font w:name="宋体">
    <w:panose1 w:val="02010600030101010101"/>
  </w:font>
  <w:font w:name="仿宋">
    <w:panose1 w:val="02010609060101010101"/>
  </w:font>
  <w:font w:name="等线 Light">
    <w:panose1 w:val="02010600030101010101"/>
  </w:font>
  <w:font w:name="等线">
    <w:panose1 w:val="02010600030101010101"/>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2712720</wp:posOffset>
              </wp:positionH>
              <wp:positionV relativeFrom="paragraph">
                <wp:posOffset>-245110</wp:posOffset>
              </wp:positionV>
              <wp:extent cx="76200" cy="400050"/>
              <wp:effectExtent l="0" t="0" r="0" b="0"/>
              <wp:wrapNone/>
              <wp:docPr id="1" name="矩形 29086"/>
              <wp:cNvGraphicFramePr/>
              <a:graphic xmlns:a="http://schemas.openxmlformats.org/drawingml/2006/main">
                <a:graphicData uri="http://schemas.microsoft.com/office/word/2010/wordprocessingShape">
                  <wps:wsp>
                    <wps:cNvPr id="0" name=""/>
                    <wps:cNvSpPr/>
                    <wps:spPr bwMode="auto">
                      <a:xfrm>
                        <a:off x="0" y="0"/>
                        <a:ext cx="76200" cy="400050"/>
                      </a:xfrm>
                      <a:prstGeom prst="rect">
                        <a:avLst/>
                      </a:prstGeom>
                      <a:noFill/>
                      <a:ln>
                        <a:noFill/>
                      </a:ln>
                      <a:effectLst/>
                    </wps:spPr>
                    <wps:txbx>
                      <w:txbxContent>
                        <w:p>
                          <w:pPr>
                            <w:pStyle w:val="930"/>
                            <w:rPr>
                              <w:rFonts w:hint="eastAsia"/>
                            </w:rPr>
                          </w:pPr>
                          <w:r>
                            <w:rPr>
                              <w:rFonts w:hint="eastAsia"/>
                            </w:rPr>
                          </w:r>
                          <w:r/>
                        </w:p>
                      </w:txbxContent>
                    </wps:txbx>
                    <wps:bodyPr rot="0" spcFirstLastPara="0" vertOverflow="overflow" horzOverflow="overflow" vert="horz" wrap="square" lIns="0" tIns="0" rIns="0" bIns="0" numCol="1" anchor="t" upright="0">
                      <a:noAutofit/>
                    </wps:bodyPr>
                  </wps:wsp>
                </a:graphicData>
              </a:graphic>
            </wp:anchor>
          </w:drawing>
        </mc:Choice>
        <mc:Fallback>
          <w:pict>
            <v:shape id="shape 0" o:spid="_x0000_s0" o:spt="1" type="#_x0000_t1" style="position:absolute;z-index:251659264;o:allowoverlap:true;o:allowincell:true;mso-position-horizontal-relative:margin;margin-left:213.6pt;mso-position-horizontal:absolute;mso-position-vertical-relative:text;margin-top:-19.3pt;mso-position-vertical:absolute;width:6.0pt;height:31.5pt;mso-wrap-distance-left:9.0pt;mso-wrap-distance-top:0.0pt;mso-wrap-distance-right:9.0pt;mso-wrap-distance-bottom:0.0pt;v-text-anchor:top;visibility:visible;" filled="f" stroked="f">
              <v:textbox inset="0,0,0,0">
                <w:txbxContent>
                  <w:p>
                    <w:pPr>
                      <w:pStyle w:val="930"/>
                      <w:rPr>
                        <w:rFonts w:hint="eastAsia"/>
                      </w:rPr>
                    </w:pPr>
                    <w:r>
                      <w:rPr>
                        <w:rFonts w:hint="eastAsia"/>
                      </w:r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2737485</wp:posOffset>
              </wp:positionH>
              <wp:positionV relativeFrom="paragraph">
                <wp:posOffset>-347345</wp:posOffset>
              </wp:positionV>
              <wp:extent cx="1828800" cy="1828800"/>
              <wp:effectExtent l="0" t="0" r="0" b="0"/>
              <wp:wrapNone/>
              <wp:docPr id="2" name="矩形 29087"/>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a:effectLst/>
                    </wps:spPr>
                    <wps:txbx>
                      <w:txbxContent>
                        <w:p>
                          <w:pPr>
                            <w:pStyle w:val="930"/>
                            <w:rPr>
                              <w:rFonts w:hint="eastAsia"/>
                            </w:rPr>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anchor="t" upright="0">
                      <a:spAutoFit/>
                    </wps:bodyPr>
                  </wps:wsp>
                </a:graphicData>
              </a:graphic>
            </wp:anchor>
          </w:drawing>
        </mc:Choice>
        <mc:Fallback>
          <w:pict>
            <v:shape id="shape 1" o:spid="_x0000_s1" o:spt="1" type="#_x0000_t1" style="position:absolute;z-index:251660288;o:allowoverlap:true;o:allowincell:true;mso-position-horizontal-relative:margin;margin-left:215.5pt;mso-position-horizontal:absolute;mso-position-vertical-relative:text;margin-top:-27.3pt;mso-position-vertical:absolute;width:144.0pt;height:144.0pt;mso-wrap-distance-left:9.0pt;mso-wrap-distance-top:0.0pt;mso-wrap-distance-right:9.0pt;mso-wrap-distance-bottom:0.0pt;v-text-anchor:top;visibility:visible;" filled="f" stroked="f">
              <v:textbox inset="0,0,0,0">
                <w:txbxContent>
                  <w:p>
                    <w:pPr>
                      <w:pStyle w:val="930"/>
                      <w:rPr>
                        <w:rFonts w:hint="eastAsia"/>
                      </w:rPr>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2717165</wp:posOffset>
              </wp:positionH>
              <wp:positionV relativeFrom="paragraph">
                <wp:posOffset>-116205</wp:posOffset>
              </wp:positionV>
              <wp:extent cx="119380" cy="398145"/>
              <wp:effectExtent l="0" t="0" r="0" b="0"/>
              <wp:wrapNone/>
              <wp:docPr id="3" name="矩形 29088"/>
              <wp:cNvGraphicFramePr/>
              <a:graphic xmlns:a="http://schemas.openxmlformats.org/drawingml/2006/main">
                <a:graphicData uri="http://schemas.microsoft.com/office/word/2010/wordprocessingShape">
                  <wps:wsp>
                    <wps:cNvPr id="0" name=""/>
                    <wps:cNvSpPr/>
                    <wps:spPr bwMode="auto">
                      <a:xfrm>
                        <a:off x="0" y="0"/>
                        <a:ext cx="119380" cy="398145"/>
                      </a:xfrm>
                      <a:prstGeom prst="rect">
                        <a:avLst/>
                      </a:prstGeom>
                      <a:noFill/>
                      <a:ln>
                        <a:noFill/>
                      </a:ln>
                      <a:effectLst/>
                    </wps:spPr>
                    <wps:txbx>
                      <w:txbxContent>
                        <w:p>
                          <w:pPr>
                            <w:pStyle w:val="930"/>
                            <w:rPr>
                              <w:rFonts w:hint="eastAsia"/>
                            </w:rPr>
                          </w:pPr>
                          <w:r>
                            <w:fldChar w:fldCharType="begin"/>
                          </w:r>
                          <w:r>
                            <w:instrText xml:space="preserve"> PAGE  \* MERGEFORMAT </w:instrText>
                          </w:r>
                          <w:r>
                            <w:fldChar w:fldCharType="separate"/>
                          </w:r>
                          <w:r>
                            <w:t xml:space="preserve">64</w:t>
                          </w:r>
                          <w:r>
                            <w:fldChar w:fldCharType="end"/>
                          </w:r>
                          <w:r/>
                        </w:p>
                      </w:txbxContent>
                    </wps:txbx>
                    <wps:bodyPr rot="0" spcFirstLastPara="0" vertOverflow="overflow" horzOverflow="overflow" vert="horz" wrap="square" lIns="0" tIns="0" rIns="0" bIns="0" numCol="1" anchor="t" upright="0">
                      <a:noAutofit/>
                    </wps:bodyPr>
                  </wps:wsp>
                </a:graphicData>
              </a:graphic>
            </wp:anchor>
          </w:drawing>
        </mc:Choice>
        <mc:Fallback>
          <w:pict>
            <v:shape id="shape 2" o:spid="_x0000_s2" o:spt="1" type="#_x0000_t1" style="position:absolute;z-index:251661312;o:allowoverlap:true;o:allowincell:true;mso-position-horizontal-relative:margin;margin-left:213.9pt;mso-position-horizontal:absolute;mso-position-vertical-relative:text;margin-top:-9.2pt;mso-position-vertical:absolute;width:9.4pt;height:31.3pt;mso-wrap-distance-left:9.0pt;mso-wrap-distance-top:0.0pt;mso-wrap-distance-right:9.0pt;mso-wrap-distance-bottom:0.0pt;v-text-anchor:top;visibility:visible;" filled="f" stroked="f">
              <v:textbox inset="0,0,0,0">
                <w:txbxContent>
                  <w:p>
                    <w:pPr>
                      <w:pStyle w:val="930"/>
                      <w:rPr>
                        <w:rFonts w:hint="eastAsia"/>
                      </w:rPr>
                    </w:pPr>
                    <w:r>
                      <w:fldChar w:fldCharType="begin"/>
                    </w:r>
                    <w:r>
                      <w:instrText xml:space="preserve"> PAGE  \* MERGEFORMAT </w:instrText>
                    </w:r>
                    <w:r>
                      <w:fldChar w:fldCharType="separate"/>
                    </w:r>
                    <w:r>
                      <w:t xml:space="preserve">64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pBdr>
        <w:top w:val="none" w:color="auto" w:sz="0" w:space="0"/>
        <w:left w:val="none" w:color="auto" w:sz="0" w:space="0"/>
        <w:bottom w:val="none" w:color="auto" w:sz="0" w:space="1"/>
        <w:right w:val="none" w:color="auto" w:sz="0" w:space="0"/>
        <w:between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6">
    <w:name w:val="Heading 1"/>
    <w:basedOn w:val="920"/>
    <w:next w:val="920"/>
    <w:link w:val="747"/>
    <w:uiPriority w:val="9"/>
    <w:qFormat/>
    <w:pPr>
      <w:keepLines/>
      <w:keepNext/>
      <w:spacing w:before="480" w:after="200"/>
      <w:outlineLvl w:val="0"/>
    </w:pPr>
    <w:rPr>
      <w:rFonts w:ascii="Arial" w:hAnsi="Arial" w:eastAsia="Arial" w:cs="Arial"/>
      <w:sz w:val="40"/>
      <w:szCs w:val="40"/>
    </w:rPr>
  </w:style>
  <w:style w:type="character" w:styleId="747">
    <w:name w:val="Heading 1 Char"/>
    <w:basedOn w:val="922"/>
    <w:link w:val="746"/>
    <w:uiPriority w:val="9"/>
    <w:rPr>
      <w:rFonts w:ascii="Arial" w:hAnsi="Arial" w:eastAsia="Arial" w:cs="Arial"/>
      <w:sz w:val="40"/>
      <w:szCs w:val="40"/>
    </w:rPr>
  </w:style>
  <w:style w:type="paragraph" w:styleId="748">
    <w:name w:val="Heading 2"/>
    <w:basedOn w:val="920"/>
    <w:next w:val="920"/>
    <w:link w:val="749"/>
    <w:uiPriority w:val="9"/>
    <w:unhideWhenUsed/>
    <w:qFormat/>
    <w:pPr>
      <w:keepLines/>
      <w:keepNext/>
      <w:spacing w:before="360" w:after="200"/>
      <w:outlineLvl w:val="1"/>
    </w:pPr>
    <w:rPr>
      <w:rFonts w:ascii="Arial" w:hAnsi="Arial" w:eastAsia="Arial" w:cs="Arial"/>
      <w:sz w:val="34"/>
    </w:rPr>
  </w:style>
  <w:style w:type="character" w:styleId="749">
    <w:name w:val="Heading 2 Char"/>
    <w:basedOn w:val="922"/>
    <w:link w:val="748"/>
    <w:uiPriority w:val="9"/>
    <w:rPr>
      <w:rFonts w:ascii="Arial" w:hAnsi="Arial" w:eastAsia="Arial" w:cs="Arial"/>
      <w:sz w:val="34"/>
    </w:rPr>
  </w:style>
  <w:style w:type="paragraph" w:styleId="750">
    <w:name w:val="Heading 3"/>
    <w:basedOn w:val="920"/>
    <w:next w:val="920"/>
    <w:link w:val="751"/>
    <w:uiPriority w:val="9"/>
    <w:unhideWhenUsed/>
    <w:qFormat/>
    <w:pPr>
      <w:keepLines/>
      <w:keepNext/>
      <w:spacing w:before="320" w:after="200"/>
      <w:outlineLvl w:val="2"/>
    </w:pPr>
    <w:rPr>
      <w:rFonts w:ascii="Arial" w:hAnsi="Arial" w:eastAsia="Arial" w:cs="Arial"/>
      <w:sz w:val="30"/>
      <w:szCs w:val="30"/>
    </w:rPr>
  </w:style>
  <w:style w:type="character" w:styleId="751">
    <w:name w:val="Heading 3 Char"/>
    <w:basedOn w:val="922"/>
    <w:link w:val="750"/>
    <w:uiPriority w:val="9"/>
    <w:rPr>
      <w:rFonts w:ascii="Arial" w:hAnsi="Arial" w:eastAsia="Arial" w:cs="Arial"/>
      <w:sz w:val="30"/>
      <w:szCs w:val="30"/>
    </w:rPr>
  </w:style>
  <w:style w:type="character" w:styleId="752">
    <w:name w:val="Heading 4 Char"/>
    <w:basedOn w:val="922"/>
    <w:link w:val="921"/>
    <w:uiPriority w:val="9"/>
    <w:rPr>
      <w:rFonts w:ascii="Arial" w:hAnsi="Arial" w:eastAsia="Arial" w:cs="Arial"/>
      <w:b/>
      <w:bCs/>
      <w:sz w:val="26"/>
      <w:szCs w:val="26"/>
    </w:rPr>
  </w:style>
  <w:style w:type="paragraph" w:styleId="753">
    <w:name w:val="Heading 5"/>
    <w:basedOn w:val="920"/>
    <w:next w:val="920"/>
    <w:link w:val="754"/>
    <w:uiPriority w:val="9"/>
    <w:unhideWhenUsed/>
    <w:qFormat/>
    <w:pPr>
      <w:keepLines/>
      <w:keepNext/>
      <w:spacing w:before="320" w:after="200"/>
      <w:outlineLvl w:val="4"/>
    </w:pPr>
    <w:rPr>
      <w:rFonts w:ascii="Arial" w:hAnsi="Arial" w:eastAsia="Arial" w:cs="Arial"/>
      <w:b/>
      <w:bCs/>
      <w:sz w:val="24"/>
      <w:szCs w:val="24"/>
    </w:rPr>
  </w:style>
  <w:style w:type="character" w:styleId="754">
    <w:name w:val="Heading 5 Char"/>
    <w:basedOn w:val="922"/>
    <w:link w:val="753"/>
    <w:uiPriority w:val="9"/>
    <w:rPr>
      <w:rFonts w:ascii="Arial" w:hAnsi="Arial" w:eastAsia="Arial" w:cs="Arial"/>
      <w:b/>
      <w:bCs/>
      <w:sz w:val="24"/>
      <w:szCs w:val="24"/>
    </w:rPr>
  </w:style>
  <w:style w:type="paragraph" w:styleId="755">
    <w:name w:val="Heading 6"/>
    <w:basedOn w:val="920"/>
    <w:next w:val="920"/>
    <w:link w:val="756"/>
    <w:uiPriority w:val="9"/>
    <w:unhideWhenUsed/>
    <w:qFormat/>
    <w:pPr>
      <w:keepLines/>
      <w:keepNext/>
      <w:spacing w:before="320" w:after="200"/>
      <w:outlineLvl w:val="5"/>
    </w:pPr>
    <w:rPr>
      <w:rFonts w:ascii="Arial" w:hAnsi="Arial" w:eastAsia="Arial" w:cs="Arial"/>
      <w:b/>
      <w:bCs/>
      <w:sz w:val="22"/>
      <w:szCs w:val="22"/>
    </w:rPr>
  </w:style>
  <w:style w:type="character" w:styleId="756">
    <w:name w:val="Heading 6 Char"/>
    <w:basedOn w:val="922"/>
    <w:link w:val="755"/>
    <w:uiPriority w:val="9"/>
    <w:rPr>
      <w:rFonts w:ascii="Arial" w:hAnsi="Arial" w:eastAsia="Arial" w:cs="Arial"/>
      <w:b/>
      <w:bCs/>
      <w:sz w:val="22"/>
      <w:szCs w:val="22"/>
    </w:rPr>
  </w:style>
  <w:style w:type="paragraph" w:styleId="757">
    <w:name w:val="Heading 7"/>
    <w:basedOn w:val="920"/>
    <w:next w:val="920"/>
    <w:link w:val="758"/>
    <w:uiPriority w:val="9"/>
    <w:unhideWhenUsed/>
    <w:qFormat/>
    <w:pPr>
      <w:keepLines/>
      <w:keepNext/>
      <w:spacing w:before="320" w:after="200"/>
      <w:outlineLvl w:val="6"/>
    </w:pPr>
    <w:rPr>
      <w:rFonts w:ascii="Arial" w:hAnsi="Arial" w:eastAsia="Arial" w:cs="Arial"/>
      <w:b/>
      <w:bCs/>
      <w:i/>
      <w:iCs/>
      <w:sz w:val="22"/>
      <w:szCs w:val="22"/>
    </w:rPr>
  </w:style>
  <w:style w:type="character" w:styleId="758">
    <w:name w:val="Heading 7 Char"/>
    <w:basedOn w:val="922"/>
    <w:link w:val="757"/>
    <w:uiPriority w:val="9"/>
    <w:rPr>
      <w:rFonts w:ascii="Arial" w:hAnsi="Arial" w:eastAsia="Arial" w:cs="Arial"/>
      <w:b/>
      <w:bCs/>
      <w:i/>
      <w:iCs/>
      <w:sz w:val="22"/>
      <w:szCs w:val="22"/>
    </w:rPr>
  </w:style>
  <w:style w:type="paragraph" w:styleId="759">
    <w:name w:val="Heading 8"/>
    <w:basedOn w:val="920"/>
    <w:next w:val="920"/>
    <w:link w:val="760"/>
    <w:uiPriority w:val="9"/>
    <w:unhideWhenUsed/>
    <w:qFormat/>
    <w:pPr>
      <w:keepLines/>
      <w:keepNext/>
      <w:spacing w:before="320" w:after="200"/>
      <w:outlineLvl w:val="7"/>
    </w:pPr>
    <w:rPr>
      <w:rFonts w:ascii="Arial" w:hAnsi="Arial" w:eastAsia="Arial" w:cs="Arial"/>
      <w:i/>
      <w:iCs/>
      <w:sz w:val="22"/>
      <w:szCs w:val="22"/>
    </w:rPr>
  </w:style>
  <w:style w:type="character" w:styleId="760">
    <w:name w:val="Heading 8 Char"/>
    <w:basedOn w:val="922"/>
    <w:link w:val="759"/>
    <w:uiPriority w:val="9"/>
    <w:rPr>
      <w:rFonts w:ascii="Arial" w:hAnsi="Arial" w:eastAsia="Arial" w:cs="Arial"/>
      <w:i/>
      <w:iCs/>
      <w:sz w:val="22"/>
      <w:szCs w:val="22"/>
    </w:rPr>
  </w:style>
  <w:style w:type="paragraph" w:styleId="761">
    <w:name w:val="Heading 9"/>
    <w:basedOn w:val="920"/>
    <w:next w:val="920"/>
    <w:link w:val="762"/>
    <w:uiPriority w:val="9"/>
    <w:unhideWhenUsed/>
    <w:qFormat/>
    <w:pPr>
      <w:keepLines/>
      <w:keepNext/>
      <w:spacing w:before="320" w:after="200"/>
      <w:outlineLvl w:val="8"/>
    </w:pPr>
    <w:rPr>
      <w:rFonts w:ascii="Arial" w:hAnsi="Arial" w:eastAsia="Arial" w:cs="Arial"/>
      <w:i/>
      <w:iCs/>
      <w:sz w:val="21"/>
      <w:szCs w:val="21"/>
    </w:rPr>
  </w:style>
  <w:style w:type="character" w:styleId="762">
    <w:name w:val="Heading 9 Char"/>
    <w:basedOn w:val="922"/>
    <w:link w:val="761"/>
    <w:uiPriority w:val="9"/>
    <w:rPr>
      <w:rFonts w:ascii="Arial" w:hAnsi="Arial" w:eastAsia="Arial" w:cs="Arial"/>
      <w:i/>
      <w:iCs/>
      <w:sz w:val="21"/>
      <w:szCs w:val="21"/>
    </w:rPr>
  </w:style>
  <w:style w:type="paragraph" w:styleId="763">
    <w:name w:val="List Paragraph"/>
    <w:basedOn w:val="920"/>
    <w:uiPriority w:val="34"/>
    <w:qFormat/>
    <w:pPr>
      <w:contextualSpacing/>
      <w:ind w:left="720"/>
    </w:pPr>
  </w:style>
  <w:style w:type="paragraph" w:styleId="764">
    <w:name w:val="No Spacing"/>
    <w:uiPriority w:val="1"/>
    <w:qFormat/>
    <w:pPr>
      <w:spacing w:before="0" w:after="0" w:line="240" w:lineRule="auto"/>
    </w:pPr>
  </w:style>
  <w:style w:type="paragraph" w:styleId="765">
    <w:name w:val="Title"/>
    <w:basedOn w:val="920"/>
    <w:next w:val="920"/>
    <w:link w:val="766"/>
    <w:uiPriority w:val="10"/>
    <w:qFormat/>
    <w:pPr>
      <w:contextualSpacing/>
      <w:spacing w:before="300" w:after="200"/>
    </w:pPr>
    <w:rPr>
      <w:sz w:val="48"/>
      <w:szCs w:val="48"/>
    </w:rPr>
  </w:style>
  <w:style w:type="character" w:styleId="766">
    <w:name w:val="Title Char"/>
    <w:basedOn w:val="922"/>
    <w:link w:val="765"/>
    <w:uiPriority w:val="10"/>
    <w:rPr>
      <w:sz w:val="48"/>
      <w:szCs w:val="48"/>
    </w:rPr>
  </w:style>
  <w:style w:type="paragraph" w:styleId="767">
    <w:name w:val="Subtitle"/>
    <w:basedOn w:val="920"/>
    <w:next w:val="920"/>
    <w:link w:val="768"/>
    <w:uiPriority w:val="11"/>
    <w:qFormat/>
    <w:pPr>
      <w:spacing w:before="200" w:after="200"/>
    </w:pPr>
    <w:rPr>
      <w:sz w:val="24"/>
      <w:szCs w:val="24"/>
    </w:rPr>
  </w:style>
  <w:style w:type="character" w:styleId="768">
    <w:name w:val="Subtitle Char"/>
    <w:basedOn w:val="922"/>
    <w:link w:val="767"/>
    <w:uiPriority w:val="11"/>
    <w:rPr>
      <w:sz w:val="24"/>
      <w:szCs w:val="24"/>
    </w:rPr>
  </w:style>
  <w:style w:type="paragraph" w:styleId="769">
    <w:name w:val="Quote"/>
    <w:basedOn w:val="920"/>
    <w:next w:val="920"/>
    <w:link w:val="770"/>
    <w:uiPriority w:val="29"/>
    <w:qFormat/>
    <w:pPr>
      <w:ind w:left="720" w:right="720"/>
    </w:pPr>
    <w:rPr>
      <w:i/>
    </w:rPr>
  </w:style>
  <w:style w:type="character" w:styleId="770">
    <w:name w:val="Quote Char"/>
    <w:link w:val="769"/>
    <w:uiPriority w:val="29"/>
    <w:rPr>
      <w:i/>
    </w:rPr>
  </w:style>
  <w:style w:type="paragraph" w:styleId="771">
    <w:name w:val="Intense Quote"/>
    <w:basedOn w:val="920"/>
    <w:next w:val="920"/>
    <w:link w:val="77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2">
    <w:name w:val="Intense Quote Char"/>
    <w:link w:val="771"/>
    <w:uiPriority w:val="30"/>
    <w:rPr>
      <w:i/>
    </w:rPr>
  </w:style>
  <w:style w:type="character" w:styleId="773">
    <w:name w:val="Header Char"/>
    <w:basedOn w:val="922"/>
    <w:link w:val="931"/>
    <w:uiPriority w:val="99"/>
  </w:style>
  <w:style w:type="character" w:styleId="774">
    <w:name w:val="Footer Char"/>
    <w:basedOn w:val="922"/>
    <w:link w:val="930"/>
    <w:uiPriority w:val="99"/>
  </w:style>
  <w:style w:type="paragraph" w:styleId="775">
    <w:name w:val="Caption"/>
    <w:basedOn w:val="920"/>
    <w:next w:val="920"/>
    <w:uiPriority w:val="35"/>
    <w:semiHidden/>
    <w:unhideWhenUsed/>
    <w:qFormat/>
    <w:pPr>
      <w:spacing w:line="276" w:lineRule="auto"/>
    </w:pPr>
    <w:rPr>
      <w:b/>
      <w:bCs/>
      <w:color w:val="4f81bd" w:themeColor="accent1"/>
      <w:sz w:val="18"/>
      <w:szCs w:val="18"/>
    </w:rPr>
  </w:style>
  <w:style w:type="character" w:styleId="776">
    <w:name w:val="Caption Char"/>
    <w:basedOn w:val="775"/>
    <w:link w:val="930"/>
    <w:uiPriority w:val="99"/>
  </w:style>
  <w:style w:type="table" w:styleId="777">
    <w:name w:val="Table Grid"/>
    <w:basedOn w:val="923"/>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8">
    <w:name w:val="Table Grid Light"/>
    <w:basedOn w:val="9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9">
    <w:name w:val="Plain Table 1"/>
    <w:basedOn w:val="9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0">
    <w:name w:val="Plain Table 2"/>
    <w:basedOn w:val="92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1">
    <w:name w:val="Plain Table 3"/>
    <w:basedOn w:val="9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2">
    <w:name w:val="Plain Table 4"/>
    <w:basedOn w:val="9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3">
    <w:name w:val="Plain Table 5"/>
    <w:basedOn w:val="9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4">
    <w:name w:val="Grid Table 1 Light"/>
    <w:basedOn w:val="92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5">
    <w:name w:val="Grid Table 1 Light - Accent 1"/>
    <w:basedOn w:val="92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6">
    <w:name w:val="Grid Table 1 Light - Accent 2"/>
    <w:basedOn w:val="92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7">
    <w:name w:val="Grid Table 1 Light - Accent 3"/>
    <w:basedOn w:val="92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8">
    <w:name w:val="Grid Table 1 Light - Accent 4"/>
    <w:basedOn w:val="92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9">
    <w:name w:val="Grid Table 1 Light - Accent 5"/>
    <w:basedOn w:val="92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0">
    <w:name w:val="Grid Table 1 Light - Accent 6"/>
    <w:basedOn w:val="92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1">
    <w:name w:val="Grid Table 2"/>
    <w:basedOn w:val="9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2">
    <w:name w:val="Grid Table 2 - Accent 1"/>
    <w:basedOn w:val="92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3">
    <w:name w:val="Grid Table 2 - Accent 2"/>
    <w:basedOn w:val="92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4">
    <w:name w:val="Grid Table 2 - Accent 3"/>
    <w:basedOn w:val="92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5">
    <w:name w:val="Grid Table 2 - Accent 4"/>
    <w:basedOn w:val="92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6">
    <w:name w:val="Grid Table 2 - Accent 5"/>
    <w:basedOn w:val="92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7">
    <w:name w:val="Grid Table 2 - Accent 6"/>
    <w:basedOn w:val="92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8">
    <w:name w:val="Grid Table 3"/>
    <w:basedOn w:val="9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1"/>
    <w:basedOn w:val="92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2"/>
    <w:basedOn w:val="92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3"/>
    <w:basedOn w:val="92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4"/>
    <w:basedOn w:val="92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5"/>
    <w:basedOn w:val="92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6"/>
    <w:basedOn w:val="92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4"/>
    <w:basedOn w:val="92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6">
    <w:name w:val="Grid Table 4 - Accent 1"/>
    <w:basedOn w:val="92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7">
    <w:name w:val="Grid Table 4 - Accent 2"/>
    <w:basedOn w:val="92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8">
    <w:name w:val="Grid Table 4 - Accent 3"/>
    <w:basedOn w:val="92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9">
    <w:name w:val="Grid Table 4 - Accent 4"/>
    <w:basedOn w:val="92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0">
    <w:name w:val="Grid Table 4 - Accent 5"/>
    <w:basedOn w:val="92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1">
    <w:name w:val="Grid Table 4 - Accent 6"/>
    <w:basedOn w:val="92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2">
    <w:name w:val="Grid Table 5 Dark"/>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3">
    <w:name w:val="Grid Table 5 Dark- Accent 1"/>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14">
    <w:name w:val="Grid Table 5 Dark - Accent 2"/>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15">
    <w:name w:val="Grid Table 5 Dark - Accent 3"/>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16">
    <w:name w:val="Grid Table 5 Dark- Accent 4"/>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17">
    <w:name w:val="Grid Table 5 Dark - Accent 5"/>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18">
    <w:name w:val="Grid Table 5 Dark - Accent 6"/>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19">
    <w:name w:val="Grid Table 6 Colorful"/>
    <w:basedOn w:val="92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0">
    <w:name w:val="Grid Table 6 Colorful - Accent 1"/>
    <w:basedOn w:val="92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21">
    <w:name w:val="Grid Table 6 Colorful - Accent 2"/>
    <w:basedOn w:val="92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22">
    <w:name w:val="Grid Table 6 Colorful - Accent 3"/>
    <w:basedOn w:val="92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23">
    <w:name w:val="Grid Table 6 Colorful - Accent 4"/>
    <w:basedOn w:val="92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24">
    <w:name w:val="Grid Table 6 Colorful - Accent 5"/>
    <w:basedOn w:val="92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25">
    <w:name w:val="Grid Table 6 Colorful - Accent 6"/>
    <w:basedOn w:val="92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26">
    <w:name w:val="Grid Table 7 Colorful"/>
    <w:basedOn w:val="92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7">
    <w:name w:val="Grid Table 7 Colorful - Accent 1"/>
    <w:basedOn w:val="92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8">
    <w:name w:val="Grid Table 7 Colorful - Accent 2"/>
    <w:basedOn w:val="92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9">
    <w:name w:val="Grid Table 7 Colorful - Accent 3"/>
    <w:basedOn w:val="92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0">
    <w:name w:val="Grid Table 7 Colorful - Accent 4"/>
    <w:basedOn w:val="92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1">
    <w:name w:val="Grid Table 7 Colorful - Accent 5"/>
    <w:basedOn w:val="92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2">
    <w:name w:val="Grid Table 7 Colorful - Accent 6"/>
    <w:basedOn w:val="92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3">
    <w:name w:val="List Table 1 Light"/>
    <w:basedOn w:val="92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4">
    <w:name w:val="List Table 1 Light - Accent 1"/>
    <w:basedOn w:val="923"/>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5">
    <w:name w:val="List Table 1 Light - Accent 2"/>
    <w:basedOn w:val="923"/>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6">
    <w:name w:val="List Table 1 Light - Accent 3"/>
    <w:basedOn w:val="923"/>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7">
    <w:name w:val="List Table 1 Light - Accent 4"/>
    <w:basedOn w:val="923"/>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8">
    <w:name w:val="List Table 1 Light - Accent 5"/>
    <w:basedOn w:val="923"/>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9">
    <w:name w:val="List Table 1 Light - Accent 6"/>
    <w:basedOn w:val="923"/>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0">
    <w:name w:val="List Table 2"/>
    <w:basedOn w:val="92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1">
    <w:name w:val="List Table 2 - Accent 1"/>
    <w:basedOn w:val="92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2">
    <w:name w:val="List Table 2 - Accent 2"/>
    <w:basedOn w:val="92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3">
    <w:name w:val="List Table 2 - Accent 3"/>
    <w:basedOn w:val="92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4">
    <w:name w:val="List Table 2 - Accent 4"/>
    <w:basedOn w:val="92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5">
    <w:name w:val="List Table 2 - Accent 5"/>
    <w:basedOn w:val="92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6">
    <w:name w:val="List Table 2 - Accent 6"/>
    <w:basedOn w:val="92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7">
    <w:name w:val="List Table 3"/>
    <w:basedOn w:val="9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8">
    <w:name w:val="List Table 3 - Accent 1"/>
    <w:basedOn w:val="92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49">
    <w:name w:val="List Table 3 - Accent 2"/>
    <w:basedOn w:val="92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50">
    <w:name w:val="List Table 3 - Accent 3"/>
    <w:basedOn w:val="92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51">
    <w:name w:val="List Table 3 - Accent 4"/>
    <w:basedOn w:val="92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52">
    <w:name w:val="List Table 3 - Accent 5"/>
    <w:basedOn w:val="92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53">
    <w:name w:val="List Table 3 - Accent 6"/>
    <w:basedOn w:val="92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54">
    <w:name w:val="List Table 4"/>
    <w:basedOn w:val="9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5">
    <w:name w:val="List Table 4 - Accent 1"/>
    <w:basedOn w:val="92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56">
    <w:name w:val="List Table 4 - Accent 2"/>
    <w:basedOn w:val="92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57">
    <w:name w:val="List Table 4 - Accent 3"/>
    <w:basedOn w:val="92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58">
    <w:name w:val="List Table 4 - Accent 4"/>
    <w:basedOn w:val="92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59">
    <w:name w:val="List Table 4 - Accent 5"/>
    <w:basedOn w:val="92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60">
    <w:name w:val="List Table 4 - Accent 6"/>
    <w:basedOn w:val="92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61">
    <w:name w:val="List Table 5 Dark"/>
    <w:basedOn w:val="92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1"/>
    <w:basedOn w:val="92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2"/>
    <w:basedOn w:val="92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3"/>
    <w:basedOn w:val="92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4"/>
    <w:basedOn w:val="92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5"/>
    <w:basedOn w:val="92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6"/>
    <w:basedOn w:val="92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6 Colorful"/>
    <w:basedOn w:val="92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9">
    <w:name w:val="List Table 6 Colorful - Accent 1"/>
    <w:basedOn w:val="92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70">
    <w:name w:val="List Table 6 Colorful - Accent 2"/>
    <w:basedOn w:val="92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71">
    <w:name w:val="List Table 6 Colorful - Accent 3"/>
    <w:basedOn w:val="92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72">
    <w:name w:val="List Table 6 Colorful - Accent 4"/>
    <w:basedOn w:val="92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73">
    <w:name w:val="List Table 6 Colorful - Accent 5"/>
    <w:basedOn w:val="92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74">
    <w:name w:val="List Table 6 Colorful - Accent 6"/>
    <w:basedOn w:val="92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75">
    <w:name w:val="List Table 7 Colorful"/>
    <w:basedOn w:val="92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6">
    <w:name w:val="List Table 7 Colorful - Accent 1"/>
    <w:basedOn w:val="92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77">
    <w:name w:val="List Table 7 Colorful - Accent 2"/>
    <w:basedOn w:val="92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78">
    <w:name w:val="List Table 7 Colorful - Accent 3"/>
    <w:basedOn w:val="92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79">
    <w:name w:val="List Table 7 Colorful - Accent 4"/>
    <w:basedOn w:val="92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80">
    <w:name w:val="List Table 7 Colorful - Accent 5"/>
    <w:basedOn w:val="92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81">
    <w:name w:val="List Table 7 Colorful - Accent 6"/>
    <w:basedOn w:val="92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82">
    <w:name w:val="Lined - Accent"/>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3">
    <w:name w:val="Lined - Accent 1"/>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84">
    <w:name w:val="Lined - Accent 2"/>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85">
    <w:name w:val="Lined - Accent 3"/>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86">
    <w:name w:val="Lined - Accent 4"/>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87">
    <w:name w:val="Lined - Accent 5"/>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88">
    <w:name w:val="Lined - Accent 6"/>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89">
    <w:name w:val="Bordered &amp; Lined - Accent"/>
    <w:basedOn w:val="92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0">
    <w:name w:val="Bordered &amp; Lined - Accent 1"/>
    <w:basedOn w:val="92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91">
    <w:name w:val="Bordered &amp; Lined - Accent 2"/>
    <w:basedOn w:val="92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92">
    <w:name w:val="Bordered &amp; Lined - Accent 3"/>
    <w:basedOn w:val="92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93">
    <w:name w:val="Bordered &amp; Lined - Accent 4"/>
    <w:basedOn w:val="92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94">
    <w:name w:val="Bordered &amp; Lined - Accent 5"/>
    <w:basedOn w:val="92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95">
    <w:name w:val="Bordered &amp; Lined - Accent 6"/>
    <w:basedOn w:val="92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96">
    <w:name w:val="Bordered"/>
    <w:basedOn w:val="92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7">
    <w:name w:val="Bordered - Accent 1"/>
    <w:basedOn w:val="92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8">
    <w:name w:val="Bordered - Accent 2"/>
    <w:basedOn w:val="92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9">
    <w:name w:val="Bordered - Accent 3"/>
    <w:basedOn w:val="92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0">
    <w:name w:val="Bordered - Accent 4"/>
    <w:basedOn w:val="92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1">
    <w:name w:val="Bordered - Accent 5"/>
    <w:basedOn w:val="92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2">
    <w:name w:val="Bordered - Accent 6"/>
    <w:basedOn w:val="92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3">
    <w:name w:val="Hyperlink"/>
    <w:uiPriority w:val="99"/>
    <w:unhideWhenUsed/>
    <w:rPr>
      <w:color w:val="0000ff" w:themeColor="hyperlink"/>
      <w:u w:val="single"/>
    </w:rPr>
  </w:style>
  <w:style w:type="paragraph" w:styleId="904">
    <w:name w:val="footnote text"/>
    <w:basedOn w:val="920"/>
    <w:link w:val="905"/>
    <w:uiPriority w:val="99"/>
    <w:semiHidden/>
    <w:unhideWhenUsed/>
    <w:pPr>
      <w:spacing w:after="40" w:line="240" w:lineRule="auto"/>
    </w:pPr>
    <w:rPr>
      <w:sz w:val="18"/>
    </w:rPr>
  </w:style>
  <w:style w:type="character" w:styleId="905">
    <w:name w:val="Footnote Text Char"/>
    <w:link w:val="904"/>
    <w:uiPriority w:val="99"/>
    <w:rPr>
      <w:sz w:val="18"/>
    </w:rPr>
  </w:style>
  <w:style w:type="character" w:styleId="906">
    <w:name w:val="footnote reference"/>
    <w:basedOn w:val="922"/>
    <w:uiPriority w:val="99"/>
    <w:unhideWhenUsed/>
    <w:rPr>
      <w:vertAlign w:val="superscript"/>
    </w:rPr>
  </w:style>
  <w:style w:type="paragraph" w:styleId="907">
    <w:name w:val="endnote text"/>
    <w:basedOn w:val="920"/>
    <w:link w:val="908"/>
    <w:uiPriority w:val="99"/>
    <w:semiHidden/>
    <w:unhideWhenUsed/>
    <w:pPr>
      <w:spacing w:after="0" w:line="240" w:lineRule="auto"/>
    </w:pPr>
    <w:rPr>
      <w:sz w:val="20"/>
    </w:rPr>
  </w:style>
  <w:style w:type="character" w:styleId="908">
    <w:name w:val="Endnote Text Char"/>
    <w:link w:val="907"/>
    <w:uiPriority w:val="99"/>
    <w:rPr>
      <w:sz w:val="20"/>
    </w:rPr>
  </w:style>
  <w:style w:type="character" w:styleId="909">
    <w:name w:val="endnote reference"/>
    <w:basedOn w:val="922"/>
    <w:uiPriority w:val="99"/>
    <w:semiHidden/>
    <w:unhideWhenUsed/>
    <w:rPr>
      <w:vertAlign w:val="superscript"/>
    </w:rPr>
  </w:style>
  <w:style w:type="paragraph" w:styleId="910">
    <w:name w:val="toc 1"/>
    <w:basedOn w:val="920"/>
    <w:next w:val="920"/>
    <w:uiPriority w:val="39"/>
    <w:unhideWhenUsed/>
    <w:pPr>
      <w:ind w:left="0" w:right="0" w:firstLine="0"/>
      <w:spacing w:after="57"/>
    </w:pPr>
  </w:style>
  <w:style w:type="paragraph" w:styleId="911">
    <w:name w:val="toc 2"/>
    <w:basedOn w:val="920"/>
    <w:next w:val="920"/>
    <w:uiPriority w:val="39"/>
    <w:unhideWhenUsed/>
    <w:pPr>
      <w:ind w:left="283" w:right="0" w:firstLine="0"/>
      <w:spacing w:after="57"/>
    </w:pPr>
  </w:style>
  <w:style w:type="paragraph" w:styleId="912">
    <w:name w:val="toc 3"/>
    <w:basedOn w:val="920"/>
    <w:next w:val="920"/>
    <w:uiPriority w:val="39"/>
    <w:unhideWhenUsed/>
    <w:pPr>
      <w:ind w:left="567" w:right="0" w:firstLine="0"/>
      <w:spacing w:after="57"/>
    </w:pPr>
  </w:style>
  <w:style w:type="paragraph" w:styleId="913">
    <w:name w:val="toc 4"/>
    <w:basedOn w:val="920"/>
    <w:next w:val="920"/>
    <w:uiPriority w:val="39"/>
    <w:unhideWhenUsed/>
    <w:pPr>
      <w:ind w:left="850" w:right="0" w:firstLine="0"/>
      <w:spacing w:after="57"/>
    </w:pPr>
  </w:style>
  <w:style w:type="paragraph" w:styleId="914">
    <w:name w:val="toc 5"/>
    <w:basedOn w:val="920"/>
    <w:next w:val="920"/>
    <w:uiPriority w:val="39"/>
    <w:unhideWhenUsed/>
    <w:pPr>
      <w:ind w:left="1134" w:right="0" w:firstLine="0"/>
      <w:spacing w:after="57"/>
    </w:pPr>
  </w:style>
  <w:style w:type="paragraph" w:styleId="915">
    <w:name w:val="toc 6"/>
    <w:basedOn w:val="920"/>
    <w:next w:val="920"/>
    <w:uiPriority w:val="39"/>
    <w:unhideWhenUsed/>
    <w:pPr>
      <w:ind w:left="1417" w:right="0" w:firstLine="0"/>
      <w:spacing w:after="57"/>
    </w:pPr>
  </w:style>
  <w:style w:type="paragraph" w:styleId="916">
    <w:name w:val="toc 8"/>
    <w:basedOn w:val="920"/>
    <w:next w:val="920"/>
    <w:uiPriority w:val="39"/>
    <w:unhideWhenUsed/>
    <w:pPr>
      <w:ind w:left="1984" w:right="0" w:firstLine="0"/>
      <w:spacing w:after="57"/>
    </w:pPr>
  </w:style>
  <w:style w:type="paragraph" w:styleId="917">
    <w:name w:val="toc 9"/>
    <w:basedOn w:val="920"/>
    <w:next w:val="920"/>
    <w:uiPriority w:val="39"/>
    <w:unhideWhenUsed/>
    <w:pPr>
      <w:ind w:left="2268" w:right="0" w:firstLine="0"/>
      <w:spacing w:after="57"/>
    </w:pPr>
  </w:style>
  <w:style w:type="paragraph" w:styleId="918">
    <w:name w:val="TOC Heading"/>
    <w:uiPriority w:val="39"/>
    <w:unhideWhenUsed/>
  </w:style>
  <w:style w:type="paragraph" w:styleId="919">
    <w:name w:val="table of figures"/>
    <w:basedOn w:val="920"/>
    <w:next w:val="920"/>
    <w:uiPriority w:val="99"/>
    <w:unhideWhenUsed/>
    <w:pPr>
      <w:spacing w:after="0" w:afterAutospacing="0"/>
    </w:pPr>
  </w:style>
  <w:style w:type="paragraph" w:styleId="920" w:default="1">
    <w:name w:val="Normal"/>
    <w:next w:val="921"/>
    <w:uiPriority w:val="0"/>
    <w:qFormat/>
    <w:pPr>
      <w:jc w:val="both"/>
      <w:widowControl w:val="off"/>
    </w:pPr>
    <w:rPr>
      <w:rFonts w:ascii="等线" w:hAnsi="等线" w:eastAsia="宋体" w:cs="Arial"/>
      <w:sz w:val="21"/>
      <w:szCs w:val="22"/>
      <w:lang w:val="en-US" w:eastAsia="zh-CN" w:bidi="ar-SA"/>
    </w:rPr>
  </w:style>
  <w:style w:type="paragraph" w:styleId="921">
    <w:name w:val="Heading 4"/>
    <w:basedOn w:val="920"/>
    <w:next w:val="920"/>
    <w:uiPriority w:val="0"/>
    <w:qFormat/>
    <w:pPr>
      <w:keepLines/>
      <w:keepNext/>
      <w:spacing w:before="280" w:after="290" w:line="376" w:lineRule="auto"/>
      <w:outlineLvl w:val="3"/>
    </w:pPr>
    <w:rPr>
      <w:rFonts w:ascii="等线 Light" w:hAnsi="等线 Light" w:eastAsia="黑体"/>
      <w:b/>
      <w:bCs/>
      <w:sz w:val="28"/>
      <w:szCs w:val="28"/>
    </w:rPr>
  </w:style>
  <w:style w:type="character" w:styleId="922" w:default="1">
    <w:name w:val="Default Paragraph Font"/>
    <w:uiPriority w:val="0"/>
    <w:semiHidden/>
    <w:qFormat/>
  </w:style>
  <w:style w:type="table" w:styleId="923" w:default="1">
    <w:name w:val="Normal Table"/>
    <w:uiPriority w:val="0"/>
    <w:semiHidden/>
    <w:qFormat/>
    <w:tblPr>
      <w:tblCellMar>
        <w:left w:w="108" w:type="dxa"/>
        <w:top w:w="0" w:type="dxa"/>
        <w:right w:w="108" w:type="dxa"/>
        <w:bottom w:w="0" w:type="dxa"/>
      </w:tblCellMar>
    </w:tblPr>
  </w:style>
  <w:style w:type="paragraph" w:styleId="924">
    <w:name w:val="toc 7"/>
    <w:basedOn w:val="920"/>
    <w:next w:val="920"/>
    <w:uiPriority w:val="39"/>
    <w:qFormat/>
    <w:pPr>
      <w:ind w:left="2520" w:firstLine="200"/>
      <w:jc w:val="left"/>
    </w:pPr>
    <w:rPr>
      <w:rFonts w:ascii="Calibri" w:hAnsi="Calibri" w:eastAsia="仿宋" w:cs="Times New Roman"/>
      <w:sz w:val="28"/>
    </w:rPr>
  </w:style>
  <w:style w:type="paragraph" w:styleId="925">
    <w:name w:val="Normal Indent"/>
    <w:basedOn w:val="920"/>
    <w:uiPriority w:val="0"/>
    <w:qFormat/>
    <w:pPr>
      <w:ind w:firstLine="420"/>
      <w:jc w:val="left"/>
    </w:pPr>
    <w:rPr>
      <w:rFonts w:ascii="Times New Roman" w:hAnsi="Times New Roman"/>
      <w:sz w:val="28"/>
      <w:szCs w:val="24"/>
    </w:rPr>
  </w:style>
  <w:style w:type="paragraph" w:styleId="926">
    <w:name w:val="Body Text"/>
    <w:basedOn w:val="920"/>
    <w:next w:val="927"/>
    <w:uiPriority w:val="0"/>
    <w:qFormat/>
    <w:pPr>
      <w:spacing w:after="120"/>
    </w:pPr>
    <w:rPr>
      <w:sz w:val="20"/>
      <w:szCs w:val="20"/>
    </w:rPr>
  </w:style>
  <w:style w:type="paragraph" w:styleId="927">
    <w:name w:val="Body Text 2"/>
    <w:basedOn w:val="920"/>
    <w:uiPriority w:val="99"/>
    <w:qFormat/>
    <w:rPr>
      <w:rFonts w:eastAsia="仿宋_GB2312"/>
      <w:color w:val="000000"/>
    </w:rPr>
  </w:style>
  <w:style w:type="paragraph" w:styleId="928">
    <w:name w:val="index 4"/>
    <w:basedOn w:val="920"/>
    <w:next w:val="920"/>
    <w:uiPriority w:val="0"/>
    <w:semiHidden/>
    <w:qFormat/>
    <w:pPr>
      <w:ind w:left="1260"/>
    </w:pPr>
  </w:style>
  <w:style w:type="paragraph" w:styleId="929">
    <w:name w:val="Plain Text"/>
    <w:basedOn w:val="920"/>
    <w:next w:val="925"/>
    <w:uiPriority w:val="0"/>
    <w:qFormat/>
    <w:pPr>
      <w:ind w:firstLine="200"/>
      <w:jc w:val="left"/>
      <w:spacing w:after="200" w:line="360" w:lineRule="auto"/>
      <w:widowControl/>
    </w:pPr>
    <w:rPr>
      <w:rFonts w:ascii="宋体" w:hAnsi="Courier New" w:eastAsia="仿宋"/>
      <w:sz w:val="24"/>
      <w:szCs w:val="20"/>
      <w:lang w:eastAsia="en-US"/>
    </w:rPr>
  </w:style>
  <w:style w:type="paragraph" w:styleId="930">
    <w:name w:val="Footer"/>
    <w:basedOn w:val="920"/>
    <w:uiPriority w:val="99"/>
    <w:qFormat/>
    <w:pPr>
      <w:jc w:val="left"/>
      <w:tabs>
        <w:tab w:val="center" w:pos="4153" w:leader="none"/>
        <w:tab w:val="right" w:pos="8306" w:leader="none"/>
      </w:tabs>
    </w:pPr>
    <w:rPr>
      <w:sz w:val="18"/>
      <w:szCs w:val="18"/>
    </w:rPr>
  </w:style>
  <w:style w:type="paragraph" w:styleId="931">
    <w:name w:val="Header"/>
    <w:basedOn w:val="920"/>
    <w:uiPriority w:val="0"/>
    <w:qFormat/>
    <w:pPr>
      <w:jc w:val="center"/>
      <w:tabs>
        <w:tab w:val="center" w:pos="4153" w:leader="none"/>
        <w:tab w:val="right" w:pos="8306" w:leader="none"/>
      </w:tabs>
      <w:pBdr>
        <w:bottom w:val="single" w:color="auto" w:sz="6" w:space="1"/>
      </w:pBdr>
    </w:pPr>
    <w:rPr>
      <w:sz w:val="18"/>
      <w:szCs w:val="18"/>
    </w:rPr>
  </w:style>
  <w:style w:type="paragraph" w:styleId="932">
    <w:name w:val="Body Text Indent 3"/>
    <w:basedOn w:val="920"/>
    <w:uiPriority w:val="0"/>
    <w:qFormat/>
    <w:pPr>
      <w:ind w:firstLine="420"/>
      <w:jc w:val="left"/>
      <w:spacing w:before="100" w:beforeAutospacing="1" w:after="100" w:afterAutospacing="1" w:line="360" w:lineRule="auto"/>
      <w:widowControl/>
    </w:pPr>
    <w:rPr>
      <w:rFonts w:ascii="宋体" w:hAnsi="宋体" w:eastAsia="仿宋"/>
      <w:sz w:val="24"/>
      <w:szCs w:val="24"/>
    </w:rPr>
  </w:style>
  <w:style w:type="paragraph" w:styleId="933">
    <w:name w:val="Normal (Web)"/>
    <w:basedOn w:val="920"/>
    <w:uiPriority w:val="99"/>
    <w:qFormat/>
    <w:pPr>
      <w:jc w:val="left"/>
      <w:spacing w:before="100" w:beforeAutospacing="1" w:after="100" w:afterAutospacing="1"/>
      <w:widowControl/>
    </w:pPr>
    <w:rPr>
      <w:rFonts w:ascii="宋体" w:hAnsi="宋体" w:cs="宋体"/>
      <w:sz w:val="24"/>
      <w:szCs w:val="24"/>
    </w:rPr>
  </w:style>
  <w:style w:type="paragraph" w:styleId="934">
    <w:name w:val="Body Text First Indent"/>
    <w:basedOn w:val="926"/>
    <w:uiPriority w:val="0"/>
    <w:qFormat/>
    <w:pPr>
      <w:ind w:firstLine="420"/>
    </w:pPr>
    <w:rPr>
      <w:rFonts w:ascii="Verdana" w:hAnsi="Verdana"/>
      <w:szCs w:val="28"/>
      <w:lang w:eastAsia="en-US"/>
    </w:rPr>
  </w:style>
  <w:style w:type="paragraph" w:styleId="935" w:customStyle="1">
    <w:name w:val="段"/>
    <w:next w:val="920"/>
    <w:uiPriority w:val="0"/>
    <w:qFormat/>
    <w:pPr>
      <w:ind w:firstLine="420"/>
      <w:jc w:val="both"/>
      <w:spacing w:after="200" w:line="276" w:lineRule="auto"/>
      <w:tabs>
        <w:tab w:val="center" w:pos="4201" w:leader="none"/>
        <w:tab w:val="right" w:pos="9298" w:leader="dot"/>
      </w:tabs>
    </w:pPr>
    <w:rPr>
      <w:rFonts w:ascii="宋体" w:hAnsi="等线" w:eastAsia="宋体" w:cs="Arial"/>
      <w:lang w:val="en-US" w:eastAsia="zh-CN" w:bidi="ar-SA"/>
    </w:rPr>
  </w:style>
  <w:style w:type="paragraph" w:styleId="936" w:customStyle="1">
    <w:name w:val="WPSOffice手动目录 1"/>
    <w:uiPriority w:val="0"/>
    <w:qFormat/>
    <w:rPr>
      <w:rFonts w:ascii="Times New Roman" w:hAnsi="Times New Roman" w:eastAsia="宋体" w:cs="Times New Roman"/>
      <w:lang w:val="en-US" w:eastAsia="zh-CN" w:bidi="ar-SA"/>
    </w:rPr>
  </w:style>
  <w:style w:type="paragraph" w:styleId="937" w:customStyle="1">
    <w:name w:val="列出段落1"/>
    <w:basedOn w:val="920"/>
    <w:uiPriority w:val="0"/>
    <w:qFormat/>
    <w:pPr>
      <w:ind w:firstLine="420"/>
    </w:pPr>
    <w:rPr>
      <w:rFonts w:ascii="Calibri" w:hAnsi="Calibri" w:cs="Times New Roman"/>
      <w:sz w:val="20"/>
      <w:szCs w:val="20"/>
    </w:rPr>
  </w:style>
  <w:style w:type="paragraph" w:styleId="938" w:customStyle="1">
    <w:name w:val="正文文本缩进1"/>
    <w:basedOn w:val="920"/>
    <w:uiPriority w:val="0"/>
    <w:qFormat/>
    <w:pPr>
      <w:ind w:left="420" w:firstLine="420"/>
      <w:spacing w:line="240" w:lineRule="atLeast"/>
    </w:pPr>
    <w:rPr>
      <w:rFonts w:ascii="Times New Roman" w:hAnsi="Times New Roman" w:eastAsia="楷体_GB2312" w:cs="Times New Roman"/>
      <w:sz w:val="24"/>
      <w:szCs w:val="24"/>
    </w:rPr>
  </w:style>
  <w:style w:type="paragraph" w:styleId="939" w:customStyle="1">
    <w:name w:val="Comment Subject"/>
    <w:basedOn w:val="940"/>
    <w:next w:val="941"/>
    <w:uiPriority w:val="0"/>
    <w:qFormat/>
    <w:rPr>
      <w:b/>
      <w:bCs/>
    </w:rPr>
  </w:style>
  <w:style w:type="paragraph" w:styleId="940" w:customStyle="1">
    <w:name w:val="Comment Text"/>
    <w:basedOn w:val="920"/>
    <w:uiPriority w:val="0"/>
    <w:qFormat/>
    <w:pPr>
      <w:ind w:firstLine="200"/>
      <w:jc w:val="left"/>
    </w:pPr>
    <w:rPr>
      <w:rFonts w:ascii="Times New Roman" w:hAnsi="Times New Roman" w:eastAsia="仿宋"/>
      <w:sz w:val="28"/>
      <w:szCs w:val="24"/>
    </w:rPr>
  </w:style>
  <w:style w:type="paragraph" w:styleId="941" w:customStyle="1">
    <w:name w:val="Plain Text1"/>
    <w:basedOn w:val="920"/>
    <w:next w:val="924"/>
    <w:uiPriority w:val="0"/>
    <w:qFormat/>
    <w:pPr>
      <w:ind w:firstLine="3584"/>
      <w:spacing w:line="360" w:lineRule="auto"/>
    </w:pPr>
  </w:style>
  <w:style w:type="paragraph" w:styleId="942" w:customStyle="1">
    <w:name w:val="纯文本1111"/>
    <w:basedOn w:val="920"/>
    <w:next w:val="943"/>
    <w:uiPriority w:val="0"/>
    <w:unhideWhenUsed/>
    <w:qFormat/>
    <w:rPr>
      <w:rFonts w:ascii="宋体" w:hAnsi="Courier New"/>
    </w:rPr>
  </w:style>
  <w:style w:type="paragraph" w:styleId="943" w:customStyle="1">
    <w:name w:val="正文缩进1"/>
    <w:basedOn w:val="920"/>
    <w:uiPriority w:val="0"/>
    <w:qFormat/>
    <w:pPr>
      <w:ind w:firstLine="420"/>
    </w:pPr>
    <w:rPr>
      <w:rFonts w:ascii="Calibri" w:hAnsi="Calibri" w:cs="Times New Roman"/>
      <w:sz w:val="20"/>
      <w:szCs w:val="20"/>
    </w:rPr>
  </w:style>
  <w:style w:type="paragraph" w:styleId="944" w:customStyle="1">
    <w:name w:val="msonormal"/>
    <w:basedOn w:val="920"/>
    <w:uiPriority w:val="0"/>
    <w:qFormat/>
    <w:pPr>
      <w:jc w:val="left"/>
      <w:spacing w:before="100" w:beforeAutospacing="1" w:after="100" w:afterAutospacing="1"/>
      <w:widowControl/>
    </w:pPr>
    <w:rPr>
      <w:rFonts w:ascii="宋体" w:hAnsi="宋体" w:cs="宋体"/>
      <w:sz w:val="24"/>
      <w:szCs w:val="24"/>
    </w:rPr>
  </w:style>
  <w:style w:type="paragraph" w:styleId="945" w:customStyle="1">
    <w:name w:val="普通(网站)1"/>
    <w:basedOn w:val="920"/>
    <w:uiPriority w:val="0"/>
    <w:qFormat/>
    <w:pPr>
      <w:jc w:val="left"/>
      <w:spacing w:before="100" w:beforeAutospacing="1" w:after="100" w:afterAutospacing="1"/>
      <w:widowControl/>
    </w:pPr>
    <w:rPr>
      <w:rFonts w:ascii="宋体" w:hAnsi="宋体" w:cs="宋体"/>
      <w:sz w:val="24"/>
      <w:szCs w:val="24"/>
    </w:rPr>
  </w:style>
  <w:style w:type="paragraph" w:styleId="946" w:customStyle="1">
    <w:name w:val="DAS正文"/>
    <w:basedOn w:val="920"/>
    <w:uiPriority w:val="0"/>
    <w:qFormat/>
    <w:pPr>
      <w:ind w:right="181" w:firstLine="480"/>
      <w:spacing w:line="360" w:lineRule="auto"/>
    </w:pPr>
    <w:rPr>
      <w:rFonts w:ascii="Verdana" w:hAnsi="Verdana" w:cs="Times New Roman"/>
      <w:szCs w:val="24"/>
    </w:rPr>
  </w:style>
  <w:style w:type="character" w:styleId="947" w:customStyle="1">
    <w:name w:val="font51"/>
    <w:basedOn w:val="922"/>
    <w:uiPriority w:val="0"/>
    <w:qFormat/>
    <w:rPr>
      <w:rFonts w:hint="eastAsia" w:ascii="宋体" w:hAnsi="宋体" w:eastAsia="宋体" w:cs="宋体"/>
      <w:color w:val="000000"/>
      <w:sz w:val="18"/>
      <w:szCs w:val="18"/>
      <w:u w:val="none"/>
    </w:rPr>
  </w:style>
  <w:style w:type="character" w:styleId="948" w:customStyle="1">
    <w:name w:val="font41"/>
    <w:basedOn w:val="922"/>
    <w:uiPriority w:val="0"/>
    <w:qFormat/>
    <w:rPr>
      <w:rFonts w:hint="eastAsia" w:ascii="宋体" w:hAnsi="宋体" w:eastAsia="宋体" w:cs="宋体"/>
      <w:color w:val="000000"/>
      <w:sz w:val="18"/>
      <w:szCs w:val="18"/>
      <w:u w:val="none"/>
    </w:rPr>
  </w:style>
  <w:style w:type="character" w:styleId="949" w:customStyle="1">
    <w:name w:val="font21"/>
    <w:basedOn w:val="922"/>
    <w:uiPriority w:val="0"/>
    <w:qFormat/>
    <w:rPr>
      <w:rFonts w:hint="eastAsia" w:ascii="微软雅黑" w:hAnsi="微软雅黑" w:eastAsia="微软雅黑" w:cs="微软雅黑"/>
      <w:color w:val="000000"/>
      <w:sz w:val="20"/>
      <w:szCs w:val="20"/>
      <w:u w:val="none"/>
    </w:rPr>
  </w:style>
  <w:style w:type="numbering" w:styleId="95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周纯</cp:lastModifiedBy>
  <cp:revision>2</cp:revision>
  <dcterms:created xsi:type="dcterms:W3CDTF">2014-10-29T12:08:00Z</dcterms:created>
  <dcterms:modified xsi:type="dcterms:W3CDTF">2025-12-10T06:55:55Z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693FCA1BE147412EA24D6A497D144598_12</vt:lpwstr>
  </property>
  <property fmtid="{D5CDD505-2E9C-101B-9397-08002B2CF9AE}" pid="4" name="KSOTemplateDocerSaveRecord">
    <vt:lpwstr>eyJoZGlkIjoiY2I1ZWQyMDIzMmI2OGYyYzI2YTM3OTg4YjAxOTQ1MWIiLCJ1c2VySWQiOiIzMTU1ODEyOTcifQ==</vt:lpwstr>
  </property>
</Properties>
</file>